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4985" w:rsidRPr="00DD211C" w:rsidRDefault="00DD211C" w:rsidP="00FA42EA">
      <w:pPr>
        <w:autoSpaceDE w:val="0"/>
        <w:autoSpaceDN w:val="0"/>
        <w:jc w:val="left"/>
        <w:outlineLvl w:val="0"/>
        <w:rPr>
          <w:rFonts w:ascii="Garamond" w:hAnsi="Garamond"/>
          <w:b/>
          <w:iCs/>
          <w:sz w:val="28"/>
          <w:szCs w:val="28"/>
        </w:rPr>
      </w:pPr>
      <w:r w:rsidRPr="00DD211C">
        <w:rPr>
          <w:rFonts w:ascii="Garamond" w:hAnsi="Garamond"/>
          <w:b/>
          <w:iCs/>
          <w:sz w:val="28"/>
          <w:szCs w:val="28"/>
        </w:rPr>
        <w:t>VIII.6</w:t>
      </w:r>
      <w:r w:rsidR="00FA42EA">
        <w:rPr>
          <w:rFonts w:ascii="Garamond" w:hAnsi="Garamond"/>
          <w:b/>
          <w:iCs/>
          <w:sz w:val="28"/>
          <w:szCs w:val="28"/>
        </w:rPr>
        <w:t>.</w:t>
      </w:r>
      <w:r w:rsidRPr="00DD211C">
        <w:rPr>
          <w:rFonts w:ascii="Garamond" w:hAnsi="Garamond"/>
          <w:b/>
          <w:iCs/>
          <w:sz w:val="28"/>
          <w:szCs w:val="28"/>
        </w:rPr>
        <w:t xml:space="preserve"> </w:t>
      </w:r>
      <w:r w:rsidR="00AA7BF3" w:rsidRPr="00DD211C">
        <w:rPr>
          <w:rFonts w:ascii="Garamond" w:hAnsi="Garamond"/>
          <w:b/>
          <w:iCs/>
          <w:sz w:val="28"/>
          <w:szCs w:val="28"/>
        </w:rPr>
        <w:t>Изменения, связанные с уточнением порядка оплаты авансовых обязательств на оптовом рынке участниками неценовых зон в январе 2019 года</w:t>
      </w:r>
    </w:p>
    <w:p w:rsidR="00BB4985" w:rsidRPr="00DD211C" w:rsidRDefault="00BB4985">
      <w:pPr>
        <w:autoSpaceDE w:val="0"/>
        <w:autoSpaceDN w:val="0"/>
        <w:jc w:val="right"/>
        <w:outlineLvl w:val="0"/>
        <w:rPr>
          <w:rFonts w:ascii="Garamond" w:hAnsi="Garamond"/>
          <w:b/>
          <w:iCs/>
          <w:sz w:val="28"/>
          <w:szCs w:val="28"/>
        </w:rPr>
      </w:pPr>
    </w:p>
    <w:p w:rsidR="00BB4985" w:rsidRDefault="00AA7BF3">
      <w:pPr>
        <w:jc w:val="right"/>
        <w:rPr>
          <w:rFonts w:ascii="Garamond" w:hAnsi="Garamond"/>
          <w:b/>
          <w:sz w:val="28"/>
          <w:szCs w:val="28"/>
        </w:rPr>
      </w:pPr>
      <w:r w:rsidRPr="00DD211C">
        <w:rPr>
          <w:rFonts w:ascii="Garamond" w:hAnsi="Garamond"/>
          <w:b/>
          <w:sz w:val="28"/>
          <w:szCs w:val="28"/>
        </w:rPr>
        <w:t>Приложение № 8.6</w:t>
      </w:r>
    </w:p>
    <w:p w:rsidR="00DD211C" w:rsidRPr="00DD211C" w:rsidRDefault="00DD211C">
      <w:pPr>
        <w:jc w:val="right"/>
        <w:rPr>
          <w:rFonts w:ascii="Garamond" w:hAnsi="Garamond"/>
          <w:b/>
          <w:sz w:val="28"/>
          <w:szCs w:val="28"/>
        </w:rPr>
      </w:pPr>
    </w:p>
    <w:tbl>
      <w:tblPr>
        <w:tblW w:w="1509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093"/>
      </w:tblGrid>
      <w:tr w:rsidR="00BB4985" w:rsidRPr="00DD211C">
        <w:trPr>
          <w:trHeight w:val="325"/>
        </w:trPr>
        <w:tc>
          <w:tcPr>
            <w:tcW w:w="15093" w:type="dxa"/>
          </w:tcPr>
          <w:p w:rsidR="00BB4985" w:rsidRPr="00DD211C" w:rsidRDefault="00AA7BF3">
            <w:pPr>
              <w:pStyle w:val="ConsPlusNormal"/>
              <w:ind w:firstLine="0"/>
              <w:rPr>
                <w:rFonts w:ascii="Garamond" w:hAnsi="Garamond"/>
                <w:sz w:val="24"/>
                <w:szCs w:val="24"/>
              </w:rPr>
            </w:pPr>
            <w:r w:rsidRPr="00DD211C">
              <w:rPr>
                <w:rFonts w:ascii="Garamond" w:hAnsi="Garamond"/>
                <w:b/>
                <w:sz w:val="24"/>
                <w:szCs w:val="24"/>
              </w:rPr>
              <w:t xml:space="preserve">Инициатор: </w:t>
            </w:r>
            <w:r w:rsidRPr="00DD211C">
              <w:rPr>
                <w:rFonts w:ascii="Garamond" w:hAnsi="Garamond"/>
                <w:sz w:val="24"/>
                <w:szCs w:val="24"/>
              </w:rPr>
              <w:t xml:space="preserve">член Наблюдательного совета Ассоциации «НП Совет рынка» </w:t>
            </w:r>
            <w:r w:rsidR="00A112B2" w:rsidRPr="00DD211C">
              <w:rPr>
                <w:rFonts w:ascii="Garamond" w:hAnsi="Garamond"/>
                <w:sz w:val="24"/>
                <w:szCs w:val="24"/>
              </w:rPr>
              <w:t>Н.Г.</w:t>
            </w:r>
            <w:r w:rsidR="00A112B2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DD211C">
              <w:rPr>
                <w:rFonts w:ascii="Garamond" w:hAnsi="Garamond"/>
                <w:sz w:val="24"/>
                <w:szCs w:val="24"/>
              </w:rPr>
              <w:t>Шульгинов</w:t>
            </w:r>
            <w:proofErr w:type="spellEnd"/>
            <w:r w:rsidR="00A112B2">
              <w:rPr>
                <w:rFonts w:ascii="Garamond" w:hAnsi="Garamond"/>
                <w:sz w:val="24"/>
                <w:szCs w:val="24"/>
              </w:rPr>
              <w:t>.</w:t>
            </w:r>
            <w:r w:rsidRPr="00DD211C">
              <w:rPr>
                <w:rFonts w:ascii="Garamond" w:hAnsi="Garamond"/>
                <w:sz w:val="24"/>
                <w:szCs w:val="24"/>
              </w:rPr>
              <w:t xml:space="preserve"> </w:t>
            </w:r>
          </w:p>
          <w:p w:rsidR="00BB4985" w:rsidRPr="00DD211C" w:rsidRDefault="00AA7BF3">
            <w:pPr>
              <w:pStyle w:val="ConsPlusNormal"/>
              <w:ind w:firstLine="0"/>
              <w:rPr>
                <w:rFonts w:ascii="Garamond" w:hAnsi="Garamond"/>
                <w:sz w:val="24"/>
                <w:szCs w:val="24"/>
              </w:rPr>
            </w:pPr>
            <w:r w:rsidRPr="00DD211C">
              <w:rPr>
                <w:rFonts w:ascii="Garamond" w:hAnsi="Garamond"/>
                <w:b/>
                <w:sz w:val="24"/>
                <w:szCs w:val="24"/>
              </w:rPr>
              <w:t xml:space="preserve">Обоснование: </w:t>
            </w:r>
            <w:r w:rsidR="00246399">
              <w:rPr>
                <w:rFonts w:ascii="Garamond" w:hAnsi="Garamond"/>
                <w:sz w:val="24"/>
                <w:szCs w:val="24"/>
              </w:rPr>
              <w:t>в</w:t>
            </w:r>
            <w:r w:rsidRPr="00DD211C">
              <w:rPr>
                <w:rFonts w:ascii="Garamond" w:hAnsi="Garamond"/>
                <w:sz w:val="24"/>
                <w:szCs w:val="24"/>
              </w:rPr>
              <w:t xml:space="preserve"> соответствии с действующей редакцией </w:t>
            </w:r>
            <w:r w:rsidR="00F870AE">
              <w:rPr>
                <w:rFonts w:ascii="Garamond" w:hAnsi="Garamond"/>
                <w:sz w:val="24"/>
                <w:szCs w:val="24"/>
              </w:rPr>
              <w:t>в</w:t>
            </w:r>
            <w:r w:rsidRPr="00DD211C">
              <w:rPr>
                <w:rFonts w:ascii="Garamond" w:hAnsi="Garamond"/>
                <w:sz w:val="24"/>
                <w:szCs w:val="24"/>
              </w:rPr>
              <w:t>ременного регламента,</w:t>
            </w:r>
            <w:r w:rsidRPr="00DD211C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Pr="00DD211C">
              <w:rPr>
                <w:rFonts w:ascii="Garamond" w:hAnsi="Garamond"/>
                <w:sz w:val="24"/>
                <w:szCs w:val="24"/>
              </w:rPr>
              <w:t xml:space="preserve">в случае если по состоянию на 09.01.2019 отсутствуют утвержденные ФАС России тарифы для станций, допущенных к торговле на оптовом рынке с 01.01.2019, расчеты авансов для указанных станций не производятся. Вследствие присоединения Западного и Центрального </w:t>
            </w:r>
            <w:proofErr w:type="spellStart"/>
            <w:r w:rsidRPr="00DD211C">
              <w:rPr>
                <w:rFonts w:ascii="Garamond" w:hAnsi="Garamond"/>
                <w:sz w:val="24"/>
                <w:szCs w:val="24"/>
              </w:rPr>
              <w:t>энергорайонов</w:t>
            </w:r>
            <w:proofErr w:type="spellEnd"/>
            <w:r w:rsidRPr="00DD211C">
              <w:rPr>
                <w:rFonts w:ascii="Garamond" w:hAnsi="Garamond"/>
                <w:sz w:val="24"/>
                <w:szCs w:val="24"/>
              </w:rPr>
              <w:t xml:space="preserve"> Республики Саха (Якутия) к неценовой зоне Дальнего Востока появились участники, осуществляющие поставку с указанных станций и при этом являющиеся гарантирующими поставщиками. В отношении ГТП потребления данные участники не освобождены от оплаты авансовых обязательств на оптовом рынке, </w:t>
            </w:r>
            <w:r w:rsidR="00F870AE">
              <w:rPr>
                <w:rFonts w:ascii="Garamond" w:hAnsi="Garamond"/>
                <w:sz w:val="24"/>
                <w:szCs w:val="24"/>
              </w:rPr>
              <w:t xml:space="preserve">и </w:t>
            </w:r>
            <w:r w:rsidRPr="00DD211C">
              <w:rPr>
                <w:rFonts w:ascii="Garamond" w:hAnsi="Garamond"/>
                <w:sz w:val="24"/>
                <w:szCs w:val="24"/>
              </w:rPr>
              <w:t>в результате исполнения своих обязательств по ГТП потребления без получения авансов по ГТП генерации у данных участников возникает дефицит средств для ведения операционной деятельности.</w:t>
            </w:r>
          </w:p>
          <w:p w:rsidR="00BB4985" w:rsidRPr="00DD211C" w:rsidRDefault="00AA7BF3">
            <w:pPr>
              <w:pStyle w:val="ConsPlusNormal"/>
              <w:ind w:firstLine="0"/>
              <w:rPr>
                <w:rFonts w:ascii="Garamond" w:hAnsi="Garamond"/>
                <w:sz w:val="24"/>
                <w:szCs w:val="24"/>
              </w:rPr>
            </w:pPr>
            <w:r w:rsidRPr="00DD211C">
              <w:rPr>
                <w:rFonts w:ascii="Garamond" w:hAnsi="Garamond"/>
                <w:sz w:val="24"/>
                <w:szCs w:val="24"/>
              </w:rPr>
              <w:t xml:space="preserve">В целях установления паритетного подхода к оплате авансов по электроэнергии по ГТП поставки и потребления предлагается предусмотреть </w:t>
            </w:r>
            <w:r w:rsidRPr="00DD211C">
              <w:rPr>
                <w:rFonts w:ascii="Garamond" w:hAnsi="Garamond"/>
                <w:sz w:val="24"/>
                <w:szCs w:val="24"/>
              </w:rPr>
              <w:br/>
              <w:t>в договоре о присоединении к торговой системе оптового рынка уточнение, согласно которому ЦФР в отношении рассматриваемых участников и единого закупщика не будет рассчитывать пени и учитывать неисполненные обязательства по оплате электрической энергии на оптовом рынке в январе</w:t>
            </w:r>
            <w:r w:rsidR="00D339D3">
              <w:rPr>
                <w:rFonts w:ascii="Garamond" w:hAnsi="Garamond"/>
                <w:sz w:val="24"/>
                <w:szCs w:val="24"/>
              </w:rPr>
              <w:t xml:space="preserve"> – </w:t>
            </w:r>
            <w:r w:rsidRPr="00DD211C">
              <w:rPr>
                <w:rFonts w:ascii="Garamond" w:hAnsi="Garamond"/>
                <w:sz w:val="24"/>
                <w:szCs w:val="24"/>
              </w:rPr>
              <w:t>феврале 2019 года для целей формирования реестра участников, обязанных предоставить финансовую гарантию.</w:t>
            </w:r>
          </w:p>
          <w:p w:rsidR="00BB4985" w:rsidRPr="00DD211C" w:rsidRDefault="00AA7BF3" w:rsidP="001B2F9C">
            <w:pPr>
              <w:pStyle w:val="ConsPlusNormal"/>
              <w:ind w:firstLine="0"/>
              <w:rPr>
                <w:rFonts w:ascii="Garamond" w:hAnsi="Garamond"/>
                <w:sz w:val="24"/>
                <w:szCs w:val="24"/>
              </w:rPr>
            </w:pPr>
            <w:r w:rsidRPr="00DD211C">
              <w:rPr>
                <w:rFonts w:ascii="Garamond" w:hAnsi="Garamond"/>
                <w:b/>
                <w:sz w:val="24"/>
                <w:szCs w:val="24"/>
              </w:rPr>
              <w:t>Дата вступления в силу:</w:t>
            </w:r>
            <w:r w:rsidRPr="00DD211C">
              <w:rPr>
                <w:rFonts w:ascii="Garamond" w:hAnsi="Garamond"/>
                <w:color w:val="FF0000"/>
                <w:sz w:val="24"/>
                <w:szCs w:val="24"/>
              </w:rPr>
              <w:t xml:space="preserve"> </w:t>
            </w:r>
            <w:r w:rsidR="00F870AE" w:rsidRPr="00F870AE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с </w:t>
            </w:r>
            <w:r w:rsidRPr="00DD211C">
              <w:rPr>
                <w:rFonts w:ascii="Garamond" w:hAnsi="Garamond"/>
                <w:color w:val="000000" w:themeColor="text1"/>
                <w:sz w:val="24"/>
                <w:szCs w:val="24"/>
              </w:rPr>
              <w:t>30 января 2019 года и действу</w:t>
            </w:r>
            <w:r w:rsidR="001B2F9C">
              <w:rPr>
                <w:rFonts w:ascii="Garamond" w:hAnsi="Garamond"/>
                <w:color w:val="000000" w:themeColor="text1"/>
                <w:sz w:val="24"/>
                <w:szCs w:val="24"/>
              </w:rPr>
              <w:t>ю</w:t>
            </w:r>
            <w:r w:rsidRPr="00DD211C">
              <w:rPr>
                <w:rFonts w:ascii="Garamond" w:hAnsi="Garamond"/>
                <w:color w:val="000000" w:themeColor="text1"/>
                <w:sz w:val="24"/>
                <w:szCs w:val="24"/>
              </w:rPr>
              <w:t>т по 30 июня 2019 года</w:t>
            </w:r>
            <w:r w:rsidR="00DD211C" w:rsidRPr="00DD211C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 (включительно)</w:t>
            </w:r>
            <w:r w:rsidR="00A112B2">
              <w:rPr>
                <w:rFonts w:ascii="Garamond" w:hAnsi="Garamond"/>
                <w:color w:val="000000" w:themeColor="text1"/>
                <w:sz w:val="24"/>
                <w:szCs w:val="24"/>
              </w:rPr>
              <w:t>.</w:t>
            </w:r>
          </w:p>
        </w:tc>
      </w:tr>
    </w:tbl>
    <w:p w:rsidR="00BB4985" w:rsidRPr="00D339D3" w:rsidRDefault="00BB4985" w:rsidP="00D339D3">
      <w:pPr>
        <w:autoSpaceDE w:val="0"/>
        <w:autoSpaceDN w:val="0"/>
        <w:jc w:val="left"/>
        <w:outlineLvl w:val="0"/>
        <w:rPr>
          <w:rFonts w:ascii="Garamond" w:hAnsi="Garamond"/>
          <w:b/>
          <w:iCs/>
          <w:sz w:val="28"/>
          <w:szCs w:val="28"/>
        </w:rPr>
      </w:pPr>
    </w:p>
    <w:p w:rsidR="00BB4985" w:rsidRPr="00D339D3" w:rsidRDefault="00AA7BF3" w:rsidP="00D339D3">
      <w:pPr>
        <w:autoSpaceDE w:val="0"/>
        <w:autoSpaceDN w:val="0"/>
        <w:jc w:val="left"/>
        <w:outlineLvl w:val="0"/>
        <w:rPr>
          <w:rFonts w:ascii="Garamond" w:hAnsi="Garamond"/>
          <w:b/>
          <w:iCs/>
          <w:sz w:val="26"/>
          <w:szCs w:val="26"/>
        </w:rPr>
      </w:pPr>
      <w:r w:rsidRPr="00D339D3">
        <w:rPr>
          <w:rFonts w:ascii="Garamond" w:hAnsi="Garamond"/>
          <w:b/>
          <w:iCs/>
          <w:sz w:val="26"/>
          <w:szCs w:val="26"/>
        </w:rPr>
        <w:t xml:space="preserve">Предложения по изменениям и дополнениям в </w:t>
      </w:r>
      <w:r w:rsidR="00D339D3" w:rsidRPr="00D339D3">
        <w:rPr>
          <w:rFonts w:ascii="Garamond" w:hAnsi="Garamond"/>
          <w:b/>
          <w:iCs/>
          <w:sz w:val="26"/>
          <w:szCs w:val="26"/>
        </w:rPr>
        <w:t xml:space="preserve">РЕГЛАМЕНТ ФИНАНСОВЫХ РАСЧЕТОВ НА ОПТОВОМ РЫНКЕ ЭЛЕКТРОЭНЕРГИИ </w:t>
      </w:r>
      <w:r w:rsidRPr="00D339D3">
        <w:rPr>
          <w:rFonts w:ascii="Garamond" w:hAnsi="Garamond"/>
          <w:b/>
          <w:iCs/>
          <w:sz w:val="26"/>
          <w:szCs w:val="26"/>
        </w:rPr>
        <w:t>(</w:t>
      </w:r>
      <w:r w:rsidR="00FA42EA" w:rsidRPr="00D339D3">
        <w:rPr>
          <w:rFonts w:ascii="Garamond" w:hAnsi="Garamond"/>
          <w:b/>
          <w:iCs/>
          <w:sz w:val="26"/>
          <w:szCs w:val="26"/>
        </w:rPr>
        <w:t>П</w:t>
      </w:r>
      <w:r w:rsidRPr="00D339D3">
        <w:rPr>
          <w:rFonts w:ascii="Garamond" w:hAnsi="Garamond"/>
          <w:b/>
          <w:iCs/>
          <w:sz w:val="26"/>
          <w:szCs w:val="26"/>
        </w:rPr>
        <w:t xml:space="preserve">риложение № 16 к </w:t>
      </w:r>
      <w:r w:rsidR="00FA42EA" w:rsidRPr="00D339D3">
        <w:rPr>
          <w:rFonts w:ascii="Garamond" w:hAnsi="Garamond"/>
          <w:b/>
          <w:iCs/>
          <w:sz w:val="26"/>
          <w:szCs w:val="26"/>
        </w:rPr>
        <w:t>Д</w:t>
      </w:r>
      <w:r w:rsidRPr="00D339D3">
        <w:rPr>
          <w:rFonts w:ascii="Garamond" w:hAnsi="Garamond"/>
          <w:b/>
          <w:iCs/>
          <w:sz w:val="26"/>
          <w:szCs w:val="26"/>
        </w:rPr>
        <w:t>оговору о присоединении к торговой системе оптового рынка)</w:t>
      </w:r>
    </w:p>
    <w:p w:rsidR="00BB4985" w:rsidRPr="00D339D3" w:rsidRDefault="00BB4985" w:rsidP="00D339D3">
      <w:pPr>
        <w:autoSpaceDE w:val="0"/>
        <w:autoSpaceDN w:val="0"/>
        <w:jc w:val="left"/>
        <w:outlineLvl w:val="0"/>
        <w:rPr>
          <w:rFonts w:ascii="Garamond" w:hAnsi="Garamond"/>
          <w:b/>
          <w:iCs/>
          <w:sz w:val="28"/>
          <w:szCs w:val="28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8"/>
        <w:gridCol w:w="5224"/>
        <w:gridCol w:w="8647"/>
      </w:tblGrid>
      <w:tr w:rsidR="00BB4985" w:rsidRPr="00A112B2" w:rsidTr="00D339D3">
        <w:trPr>
          <w:trHeight w:val="435"/>
        </w:trPr>
        <w:tc>
          <w:tcPr>
            <w:tcW w:w="1008" w:type="dxa"/>
            <w:vAlign w:val="center"/>
          </w:tcPr>
          <w:p w:rsidR="00BB4985" w:rsidRPr="00A112B2" w:rsidRDefault="00AA7BF3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A112B2">
              <w:rPr>
                <w:rFonts w:ascii="Garamond" w:hAnsi="Garamond"/>
                <w:b/>
                <w:bCs/>
                <w:sz w:val="22"/>
                <w:szCs w:val="22"/>
              </w:rPr>
              <w:t>№</w:t>
            </w:r>
          </w:p>
          <w:p w:rsidR="00BB4985" w:rsidRPr="00A112B2" w:rsidRDefault="00AA7BF3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A112B2">
              <w:rPr>
                <w:rFonts w:ascii="Garamond" w:hAnsi="Garamond"/>
                <w:b/>
                <w:bCs/>
                <w:sz w:val="22"/>
                <w:szCs w:val="22"/>
              </w:rPr>
              <w:t>пункта</w:t>
            </w:r>
          </w:p>
        </w:tc>
        <w:tc>
          <w:tcPr>
            <w:tcW w:w="5224" w:type="dxa"/>
            <w:vAlign w:val="center"/>
          </w:tcPr>
          <w:p w:rsidR="00BB4985" w:rsidRPr="00A112B2" w:rsidRDefault="00AA7BF3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A112B2">
              <w:rPr>
                <w:rFonts w:ascii="Garamond" w:hAnsi="Garamond"/>
                <w:b/>
                <w:bCs/>
                <w:sz w:val="22"/>
                <w:szCs w:val="22"/>
              </w:rPr>
              <w:t xml:space="preserve">Редакция, действующая на момент </w:t>
            </w:r>
          </w:p>
          <w:p w:rsidR="00BB4985" w:rsidRPr="00A112B2" w:rsidRDefault="00AA7BF3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A112B2">
              <w:rPr>
                <w:rFonts w:ascii="Garamond" w:hAnsi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8647" w:type="dxa"/>
            <w:vAlign w:val="center"/>
          </w:tcPr>
          <w:p w:rsidR="00BB4985" w:rsidRPr="00A112B2" w:rsidRDefault="00AA7BF3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A112B2">
              <w:rPr>
                <w:rFonts w:ascii="Garamond" w:hAnsi="Garamond"/>
                <w:b/>
                <w:bCs/>
                <w:sz w:val="22"/>
                <w:szCs w:val="22"/>
              </w:rPr>
              <w:t>Предлагаемая редакция</w:t>
            </w:r>
          </w:p>
          <w:p w:rsidR="00BB4985" w:rsidRPr="00D339D3" w:rsidRDefault="00AA7BF3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D339D3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BB4985" w:rsidRPr="00A112B2" w:rsidTr="00D339D3">
        <w:trPr>
          <w:trHeight w:val="435"/>
        </w:trPr>
        <w:tc>
          <w:tcPr>
            <w:tcW w:w="1008" w:type="dxa"/>
            <w:vAlign w:val="center"/>
          </w:tcPr>
          <w:p w:rsidR="00BB4985" w:rsidRPr="00A112B2" w:rsidRDefault="00AA7BF3" w:rsidP="00A112B2">
            <w:pPr>
              <w:spacing w:before="120" w:after="120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A112B2">
              <w:rPr>
                <w:rFonts w:ascii="Garamond" w:hAnsi="Garamond"/>
                <w:b/>
                <w:bCs/>
                <w:sz w:val="22"/>
                <w:szCs w:val="22"/>
              </w:rPr>
              <w:t>12.5.4</w:t>
            </w:r>
          </w:p>
        </w:tc>
        <w:tc>
          <w:tcPr>
            <w:tcW w:w="5224" w:type="dxa"/>
            <w:vAlign w:val="center"/>
          </w:tcPr>
          <w:p w:rsidR="00BB4985" w:rsidRPr="00A112B2" w:rsidRDefault="00AA7BF3" w:rsidP="00A112B2">
            <w:pPr>
              <w:spacing w:before="120" w:after="120"/>
              <w:ind w:firstLine="567"/>
              <w:rPr>
                <w:rFonts w:ascii="Garamond" w:hAnsi="Garamond"/>
                <w:b/>
                <w:sz w:val="22"/>
                <w:szCs w:val="22"/>
              </w:rPr>
            </w:pPr>
            <w:r w:rsidRPr="00A112B2">
              <w:rPr>
                <w:rFonts w:ascii="Garamond" w:hAnsi="Garamond"/>
                <w:b/>
                <w:sz w:val="22"/>
                <w:szCs w:val="22"/>
              </w:rPr>
              <w:t>Добавить пункт</w:t>
            </w:r>
          </w:p>
        </w:tc>
        <w:tc>
          <w:tcPr>
            <w:tcW w:w="8647" w:type="dxa"/>
            <w:vAlign w:val="center"/>
          </w:tcPr>
          <w:p w:rsidR="00A112B2" w:rsidRPr="001B2F9C" w:rsidRDefault="00AA7BF3" w:rsidP="00A112B2">
            <w:pPr>
              <w:pStyle w:val="20"/>
              <w:numPr>
                <w:ilvl w:val="0"/>
                <w:numId w:val="0"/>
              </w:numPr>
              <w:spacing w:before="120" w:after="120"/>
              <w:ind w:left="180" w:hanging="180"/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</w:pPr>
            <w:r w:rsidRPr="001B2F9C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12.5.4. </w:t>
            </w:r>
            <w:r w:rsidR="00A112B2" w:rsidRPr="001B2F9C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Особенности оплаты неустойки (пени) в отношении отдельных участников оптового рынка, функционирующих в неценовых зонах</w:t>
            </w:r>
          </w:p>
          <w:p w:rsidR="00BB4985" w:rsidRPr="00A112B2" w:rsidRDefault="00AA7BF3" w:rsidP="001B2F9C">
            <w:pPr>
              <w:pStyle w:val="20"/>
              <w:numPr>
                <w:ilvl w:val="0"/>
                <w:numId w:val="0"/>
              </w:numPr>
              <w:tabs>
                <w:tab w:val="num" w:pos="1440"/>
              </w:tabs>
              <w:spacing w:before="120" w:after="120"/>
              <w:ind w:firstLine="601"/>
              <w:rPr>
                <w:rFonts w:ascii="Garamond" w:hAnsi="Garamond"/>
                <w:b w:val="0"/>
                <w:sz w:val="22"/>
                <w:szCs w:val="22"/>
                <w:highlight w:val="yellow"/>
                <w:lang w:val="ru-RU"/>
              </w:rPr>
            </w:pPr>
            <w:r w:rsidRPr="00A112B2">
              <w:rPr>
                <w:rFonts w:ascii="Garamond" w:hAnsi="Garamond"/>
                <w:b w:val="0"/>
                <w:sz w:val="22"/>
                <w:szCs w:val="22"/>
                <w:highlight w:val="yellow"/>
                <w:lang w:val="ru-RU"/>
              </w:rPr>
              <w:t>В отношении участника оптового рынка, функционирующего в неценовой зоне оптового рынка, применяются особенности оплаты неустойки (пени), предусмотренные настоящим пунктом, при условии одновременного соответствия такого участника оптового рынка следующим критериям:</w:t>
            </w:r>
          </w:p>
          <w:p w:rsidR="00BB4985" w:rsidRPr="00A112B2" w:rsidRDefault="00AA7BF3" w:rsidP="001B2F9C">
            <w:pPr>
              <w:pStyle w:val="20"/>
              <w:numPr>
                <w:ilvl w:val="0"/>
                <w:numId w:val="12"/>
              </w:numPr>
              <w:spacing w:before="120" w:after="120"/>
              <w:ind w:left="34" w:firstLine="567"/>
              <w:rPr>
                <w:rFonts w:ascii="Garamond" w:hAnsi="Garamond"/>
                <w:b w:val="0"/>
                <w:sz w:val="22"/>
                <w:szCs w:val="22"/>
                <w:highlight w:val="yellow"/>
                <w:lang w:val="ru-RU"/>
              </w:rPr>
            </w:pPr>
            <w:r w:rsidRPr="00A112B2">
              <w:rPr>
                <w:rFonts w:ascii="Garamond" w:hAnsi="Garamond"/>
                <w:b w:val="0"/>
                <w:sz w:val="22"/>
                <w:szCs w:val="22"/>
                <w:highlight w:val="yellow"/>
                <w:lang w:val="ru-RU"/>
              </w:rPr>
              <w:t xml:space="preserve">участник оптового рынка осуществляет продажу электрической энергии и (или) мощности в неценовой зоне оптового рынка с использованием ГТП генерации, в отношении которой (которых) такой участник получил право на участие в торговле </w:t>
            </w:r>
            <w:r w:rsidRPr="00A112B2">
              <w:rPr>
                <w:rFonts w:ascii="Garamond" w:hAnsi="Garamond"/>
                <w:b w:val="0"/>
                <w:sz w:val="22"/>
                <w:szCs w:val="22"/>
                <w:highlight w:val="yellow"/>
                <w:lang w:val="ru-RU"/>
              </w:rPr>
              <w:lastRenderedPageBreak/>
              <w:t>электрической энергией и мощност</w:t>
            </w:r>
            <w:r w:rsidR="008124DF" w:rsidRPr="00A112B2">
              <w:rPr>
                <w:rFonts w:ascii="Garamond" w:hAnsi="Garamond"/>
                <w:b w:val="0"/>
                <w:sz w:val="22"/>
                <w:szCs w:val="22"/>
                <w:highlight w:val="yellow"/>
                <w:lang w:val="ru-RU"/>
              </w:rPr>
              <w:t>ью</w:t>
            </w:r>
            <w:r w:rsidR="00A112B2">
              <w:rPr>
                <w:rFonts w:ascii="Garamond" w:hAnsi="Garamond"/>
                <w:b w:val="0"/>
                <w:sz w:val="22"/>
                <w:szCs w:val="22"/>
                <w:highlight w:val="yellow"/>
                <w:lang w:val="ru-RU"/>
              </w:rPr>
              <w:t xml:space="preserve"> на оптовом рынке с </w:t>
            </w:r>
            <w:r w:rsidRPr="00A112B2">
              <w:rPr>
                <w:rFonts w:ascii="Garamond" w:hAnsi="Garamond"/>
                <w:b w:val="0"/>
                <w:sz w:val="22"/>
                <w:szCs w:val="22"/>
                <w:highlight w:val="yellow"/>
                <w:lang w:val="ru-RU"/>
              </w:rPr>
              <w:t>1 января 2019</w:t>
            </w:r>
            <w:r w:rsidR="00A112B2" w:rsidRPr="00A112B2">
              <w:rPr>
                <w:rFonts w:ascii="Garamond" w:hAnsi="Garamond"/>
                <w:b w:val="0"/>
                <w:sz w:val="22"/>
                <w:szCs w:val="22"/>
                <w:highlight w:val="yellow"/>
                <w:lang w:val="ru-RU"/>
              </w:rPr>
              <w:t xml:space="preserve"> </w:t>
            </w:r>
            <w:r w:rsidRPr="00A112B2">
              <w:rPr>
                <w:rFonts w:ascii="Garamond" w:hAnsi="Garamond"/>
                <w:b w:val="0"/>
                <w:sz w:val="22"/>
                <w:szCs w:val="22"/>
                <w:highlight w:val="yellow"/>
                <w:lang w:val="ru-RU"/>
              </w:rPr>
              <w:t>г</w:t>
            </w:r>
            <w:r w:rsidR="00A112B2">
              <w:rPr>
                <w:rFonts w:ascii="Garamond" w:hAnsi="Garamond"/>
                <w:b w:val="0"/>
                <w:sz w:val="22"/>
                <w:szCs w:val="22"/>
                <w:highlight w:val="yellow"/>
                <w:lang w:val="ru-RU"/>
              </w:rPr>
              <w:t>ода</w:t>
            </w:r>
            <w:r w:rsidRPr="00A112B2">
              <w:rPr>
                <w:rFonts w:ascii="Garamond" w:hAnsi="Garamond"/>
                <w:b w:val="0"/>
                <w:sz w:val="22"/>
                <w:szCs w:val="22"/>
                <w:highlight w:val="yellow"/>
                <w:lang w:val="ru-RU"/>
              </w:rPr>
              <w:t>;</w:t>
            </w:r>
          </w:p>
          <w:p w:rsidR="00BB4985" w:rsidRPr="00A112B2" w:rsidRDefault="00AA7BF3" w:rsidP="001B2F9C">
            <w:pPr>
              <w:pStyle w:val="20"/>
              <w:numPr>
                <w:ilvl w:val="0"/>
                <w:numId w:val="12"/>
              </w:numPr>
              <w:spacing w:before="120" w:after="120"/>
              <w:ind w:left="34" w:firstLine="567"/>
              <w:rPr>
                <w:rFonts w:ascii="Garamond" w:hAnsi="Garamond"/>
                <w:b w:val="0"/>
                <w:sz w:val="22"/>
                <w:szCs w:val="22"/>
                <w:highlight w:val="yellow"/>
                <w:lang w:val="ru-RU"/>
              </w:rPr>
            </w:pPr>
            <w:r w:rsidRPr="00A112B2">
              <w:rPr>
                <w:rFonts w:ascii="Garamond" w:hAnsi="Garamond"/>
                <w:b w:val="0"/>
                <w:sz w:val="22"/>
                <w:szCs w:val="22"/>
                <w:highlight w:val="yellow"/>
                <w:lang w:val="ru-RU"/>
              </w:rPr>
              <w:t xml:space="preserve">участник оптового рынка осуществляет покупку электрической энергии и (или) мощности в данной неценовой зоне оптового рынка с использованием ГТП потребления, которая не относится к ГТП потребления </w:t>
            </w:r>
            <w:r w:rsidR="008124DF" w:rsidRPr="00A112B2">
              <w:rPr>
                <w:rFonts w:ascii="Garamond" w:hAnsi="Garamond"/>
                <w:b w:val="0"/>
                <w:sz w:val="22"/>
                <w:szCs w:val="22"/>
                <w:highlight w:val="yellow"/>
                <w:lang w:val="ru-RU"/>
              </w:rPr>
              <w:t>поставщика</w:t>
            </w:r>
            <w:r w:rsidRPr="00A112B2">
              <w:rPr>
                <w:rFonts w:ascii="Garamond" w:hAnsi="Garamond"/>
                <w:b w:val="0"/>
                <w:sz w:val="22"/>
                <w:szCs w:val="22"/>
                <w:highlight w:val="yellow"/>
                <w:lang w:val="ru-RU"/>
              </w:rPr>
              <w:t>;</w:t>
            </w:r>
          </w:p>
          <w:p w:rsidR="00BB4985" w:rsidRPr="00A112B2" w:rsidRDefault="00AA7BF3" w:rsidP="001B2F9C">
            <w:pPr>
              <w:pStyle w:val="20"/>
              <w:numPr>
                <w:ilvl w:val="0"/>
                <w:numId w:val="12"/>
              </w:numPr>
              <w:spacing w:before="120" w:after="120"/>
              <w:ind w:left="34" w:firstLine="567"/>
              <w:rPr>
                <w:rFonts w:ascii="Garamond" w:hAnsi="Garamond"/>
                <w:b w:val="0"/>
                <w:sz w:val="22"/>
                <w:szCs w:val="22"/>
                <w:highlight w:val="yellow"/>
                <w:lang w:val="ru-RU"/>
              </w:rPr>
            </w:pPr>
            <w:r w:rsidRPr="00A112B2">
              <w:rPr>
                <w:rFonts w:ascii="Garamond" w:hAnsi="Garamond"/>
                <w:b w:val="0"/>
                <w:sz w:val="22"/>
                <w:szCs w:val="22"/>
                <w:highlight w:val="yellow"/>
                <w:lang w:val="ru-RU"/>
              </w:rPr>
              <w:t>на 9 января 2019 года отсутствуют утвержденные ФАС России и вступившие в силу в установленном порядке цены (тарифы) на электрическую энергию (мощность), поставляемую в неценовых зонах оптового рынка, в отношении станций участника оптового рынка, ГТП которых допущены к торговле электрической энергией и мощностью на оптовом рынке начиная с 1 января 2019 года, и указанные станции исключены из расчета авансовых обязательств/требований за январь 2019 года;</w:t>
            </w:r>
          </w:p>
          <w:p w:rsidR="00BB4985" w:rsidRPr="00A112B2" w:rsidRDefault="00AA7BF3" w:rsidP="001B2F9C">
            <w:pPr>
              <w:pStyle w:val="20"/>
              <w:numPr>
                <w:ilvl w:val="0"/>
                <w:numId w:val="12"/>
              </w:numPr>
              <w:spacing w:before="120" w:after="120"/>
              <w:ind w:left="34" w:firstLine="567"/>
              <w:rPr>
                <w:rFonts w:ascii="Garamond" w:hAnsi="Garamond"/>
                <w:b w:val="0"/>
                <w:sz w:val="22"/>
                <w:szCs w:val="22"/>
                <w:highlight w:val="yellow"/>
                <w:lang w:val="ru-RU"/>
              </w:rPr>
            </w:pPr>
            <w:r w:rsidRPr="00A112B2">
              <w:rPr>
                <w:rFonts w:ascii="Garamond" w:hAnsi="Garamond"/>
                <w:b w:val="0"/>
                <w:sz w:val="22"/>
                <w:szCs w:val="22"/>
                <w:highlight w:val="yellow"/>
                <w:lang w:val="ru-RU"/>
              </w:rPr>
              <w:t>участник оптового рынка направил в адрес Совета рынка уведомление о соответствии указанным выше критериям в срок до 31 января 2019 года.</w:t>
            </w:r>
          </w:p>
          <w:p w:rsidR="00BB4985" w:rsidRPr="00A112B2" w:rsidRDefault="00AA7BF3" w:rsidP="00D339D3">
            <w:pPr>
              <w:pStyle w:val="20"/>
              <w:numPr>
                <w:ilvl w:val="0"/>
                <w:numId w:val="0"/>
              </w:numPr>
              <w:tabs>
                <w:tab w:val="num" w:pos="1440"/>
              </w:tabs>
              <w:spacing w:before="120" w:after="120"/>
              <w:ind w:firstLine="541"/>
              <w:rPr>
                <w:rFonts w:ascii="Garamond" w:hAnsi="Garamond"/>
                <w:b w:val="0"/>
                <w:sz w:val="22"/>
                <w:szCs w:val="22"/>
                <w:highlight w:val="yellow"/>
                <w:lang w:val="ru-RU"/>
              </w:rPr>
            </w:pPr>
            <w:r w:rsidRPr="00A112B2">
              <w:rPr>
                <w:rFonts w:ascii="Garamond" w:hAnsi="Garamond"/>
                <w:b w:val="0"/>
                <w:sz w:val="22"/>
                <w:szCs w:val="22"/>
                <w:highlight w:val="yellow"/>
                <w:lang w:val="ru-RU"/>
              </w:rPr>
              <w:t>Предусмотренные настоящим пунктом особенности оплаты неустойки (пени) также распространяются на участника оптового рынка, исполняющего функции единого закупщика в неценовой зоне Дальнего Востока, при условии, если хотя бы один участник оптового рынка в неценовой зоне Дальнего Востока соответствует критериям, предусмотренным настоящим пунктом Регламента.</w:t>
            </w:r>
          </w:p>
          <w:p w:rsidR="00BB4985" w:rsidRPr="00A112B2" w:rsidRDefault="00AA7BF3" w:rsidP="00D339D3">
            <w:pPr>
              <w:pStyle w:val="20"/>
              <w:numPr>
                <w:ilvl w:val="0"/>
                <w:numId w:val="0"/>
              </w:numPr>
              <w:tabs>
                <w:tab w:val="num" w:pos="1440"/>
              </w:tabs>
              <w:spacing w:before="120" w:after="120"/>
              <w:ind w:firstLine="541"/>
              <w:rPr>
                <w:rFonts w:ascii="Garamond" w:hAnsi="Garamond"/>
                <w:b w:val="0"/>
                <w:sz w:val="22"/>
                <w:szCs w:val="22"/>
                <w:highlight w:val="yellow"/>
                <w:lang w:val="ru-RU"/>
              </w:rPr>
            </w:pPr>
            <w:r w:rsidRPr="00A112B2">
              <w:rPr>
                <w:rFonts w:ascii="Garamond" w:hAnsi="Garamond"/>
                <w:b w:val="0"/>
                <w:sz w:val="22"/>
                <w:szCs w:val="22"/>
                <w:highlight w:val="yellow"/>
                <w:lang w:val="ru-RU"/>
              </w:rPr>
              <w:t>Совет рынка осуществляет проверку участника оптового рынка, направившего уведомление, и участника оптового рынка, исполняющего функции единого закупщика в н</w:t>
            </w:r>
            <w:r w:rsidR="00A112B2">
              <w:rPr>
                <w:rFonts w:ascii="Garamond" w:hAnsi="Garamond"/>
                <w:b w:val="0"/>
                <w:sz w:val="22"/>
                <w:szCs w:val="22"/>
                <w:highlight w:val="yellow"/>
                <w:lang w:val="ru-RU"/>
              </w:rPr>
              <w:t>еценовой зоне Дальнего Востока,</w:t>
            </w:r>
            <w:r w:rsidRPr="00A112B2">
              <w:rPr>
                <w:rFonts w:ascii="Garamond" w:hAnsi="Garamond"/>
                <w:b w:val="0"/>
                <w:sz w:val="22"/>
                <w:szCs w:val="22"/>
                <w:highlight w:val="yellow"/>
                <w:lang w:val="ru-RU"/>
              </w:rPr>
              <w:t xml:space="preserve"> на соответствие указанным выше критериям, и не позднее </w:t>
            </w:r>
            <w:r w:rsidR="008124DF" w:rsidRPr="00A112B2">
              <w:rPr>
                <w:rFonts w:ascii="Garamond" w:hAnsi="Garamond"/>
                <w:b w:val="0"/>
                <w:sz w:val="22"/>
                <w:szCs w:val="22"/>
                <w:highlight w:val="yellow"/>
                <w:lang w:val="ru-RU"/>
              </w:rPr>
              <w:t>31</w:t>
            </w:r>
            <w:r w:rsidRPr="00A112B2">
              <w:rPr>
                <w:rFonts w:ascii="Garamond" w:hAnsi="Garamond"/>
                <w:b w:val="0"/>
                <w:sz w:val="22"/>
                <w:szCs w:val="22"/>
                <w:highlight w:val="yellow"/>
                <w:lang w:val="ru-RU"/>
              </w:rPr>
              <w:t xml:space="preserve"> </w:t>
            </w:r>
            <w:r w:rsidR="008124DF" w:rsidRPr="00A112B2">
              <w:rPr>
                <w:rFonts w:ascii="Garamond" w:hAnsi="Garamond"/>
                <w:b w:val="0"/>
                <w:sz w:val="22"/>
                <w:szCs w:val="22"/>
                <w:highlight w:val="yellow"/>
                <w:lang w:val="ru-RU"/>
              </w:rPr>
              <w:t>января</w:t>
            </w:r>
            <w:r w:rsidRPr="00A112B2">
              <w:rPr>
                <w:rFonts w:ascii="Garamond" w:hAnsi="Garamond"/>
                <w:b w:val="0"/>
                <w:sz w:val="22"/>
                <w:szCs w:val="22"/>
                <w:highlight w:val="yellow"/>
                <w:lang w:val="ru-RU"/>
              </w:rPr>
              <w:t xml:space="preserve"> 2019 года направляет в ЦФР и КО перечень участников оптового рынка, в отношении которых применяются предусмотренные настоящим пунктом особенности расчета пени (неустойки).</w:t>
            </w:r>
          </w:p>
          <w:p w:rsidR="00BB4985" w:rsidRPr="00A112B2" w:rsidRDefault="00AA7BF3" w:rsidP="00D339D3">
            <w:pPr>
              <w:pStyle w:val="20"/>
              <w:numPr>
                <w:ilvl w:val="0"/>
                <w:numId w:val="0"/>
              </w:numPr>
              <w:tabs>
                <w:tab w:val="num" w:pos="1440"/>
              </w:tabs>
              <w:spacing w:before="120" w:after="120"/>
              <w:ind w:firstLine="541"/>
              <w:rPr>
                <w:rFonts w:ascii="Garamond" w:hAnsi="Garamond"/>
                <w:b w:val="0"/>
                <w:sz w:val="22"/>
                <w:szCs w:val="22"/>
                <w:highlight w:val="yellow"/>
                <w:lang w:val="ru-RU"/>
              </w:rPr>
            </w:pPr>
            <w:r w:rsidRPr="00A112B2">
              <w:rPr>
                <w:rFonts w:ascii="Garamond" w:hAnsi="Garamond"/>
                <w:b w:val="0"/>
                <w:sz w:val="22"/>
                <w:szCs w:val="22"/>
                <w:highlight w:val="yellow"/>
                <w:lang w:val="ru-RU"/>
              </w:rPr>
              <w:t>КО на основании уведомления от Совета рынка об определении участников оптового рынка, в отношении которых применяются особенности оплаты неустойки (пени), не осуществляет расчет неустойки (пени) в отношении указанных участников оптового рынка в случае неисполнения или ненадлежащего исполнения таким участником обязательств:</w:t>
            </w:r>
          </w:p>
          <w:p w:rsidR="00BB4985" w:rsidRPr="00A112B2" w:rsidRDefault="00AA7BF3" w:rsidP="00D339D3">
            <w:pPr>
              <w:pStyle w:val="20"/>
              <w:numPr>
                <w:ilvl w:val="0"/>
                <w:numId w:val="0"/>
              </w:numPr>
              <w:tabs>
                <w:tab w:val="num" w:pos="1440"/>
              </w:tabs>
              <w:spacing w:before="120" w:after="120"/>
              <w:ind w:firstLine="541"/>
              <w:rPr>
                <w:rFonts w:ascii="Garamond" w:hAnsi="Garamond"/>
                <w:b w:val="0"/>
                <w:sz w:val="22"/>
                <w:szCs w:val="22"/>
                <w:highlight w:val="yellow"/>
                <w:lang w:val="ru-RU"/>
              </w:rPr>
            </w:pPr>
            <w:r w:rsidRPr="00A112B2">
              <w:rPr>
                <w:rFonts w:ascii="Garamond" w:hAnsi="Garamond"/>
                <w:b w:val="0"/>
                <w:sz w:val="22"/>
                <w:szCs w:val="22"/>
                <w:highlight w:val="yellow"/>
                <w:lang w:val="ru-RU"/>
              </w:rPr>
              <w:t xml:space="preserve">по оплате услуг КО, фактически оказанных участникам оптового рынка; </w:t>
            </w:r>
          </w:p>
          <w:p w:rsidR="00BB4985" w:rsidRPr="00A112B2" w:rsidRDefault="00AA7BF3" w:rsidP="00D339D3">
            <w:pPr>
              <w:pStyle w:val="20"/>
              <w:numPr>
                <w:ilvl w:val="0"/>
                <w:numId w:val="0"/>
              </w:numPr>
              <w:tabs>
                <w:tab w:val="num" w:pos="1440"/>
              </w:tabs>
              <w:spacing w:before="120" w:after="120"/>
              <w:ind w:firstLine="541"/>
              <w:rPr>
                <w:rFonts w:ascii="Garamond" w:hAnsi="Garamond"/>
                <w:b w:val="0"/>
                <w:sz w:val="22"/>
                <w:szCs w:val="22"/>
                <w:highlight w:val="yellow"/>
                <w:lang w:val="ru-RU"/>
              </w:rPr>
            </w:pPr>
            <w:r w:rsidRPr="00A112B2">
              <w:rPr>
                <w:rFonts w:ascii="Garamond" w:hAnsi="Garamond"/>
                <w:b w:val="0"/>
                <w:sz w:val="22"/>
                <w:szCs w:val="22"/>
                <w:highlight w:val="yellow"/>
                <w:lang w:val="ru-RU"/>
              </w:rPr>
              <w:t>по оплате авансовых платежей за услугу КО – в течение периода с 10 января 2019 года по 21 февраля 2019 года</w:t>
            </w:r>
            <w:r w:rsidR="001030F5">
              <w:rPr>
                <w:rFonts w:ascii="Garamond" w:hAnsi="Garamond"/>
                <w:b w:val="0"/>
                <w:sz w:val="22"/>
                <w:szCs w:val="22"/>
                <w:highlight w:val="yellow"/>
                <w:lang w:val="ru-RU"/>
              </w:rPr>
              <w:t xml:space="preserve"> </w:t>
            </w:r>
            <w:r w:rsidR="001030F5" w:rsidRPr="00A112B2">
              <w:rPr>
                <w:rFonts w:ascii="Garamond" w:hAnsi="Garamond"/>
                <w:b w:val="0"/>
                <w:sz w:val="22"/>
                <w:szCs w:val="22"/>
                <w:highlight w:val="yellow"/>
                <w:lang w:val="ru-RU"/>
              </w:rPr>
              <w:t>(включительно)</w:t>
            </w:r>
            <w:r w:rsidRPr="00A112B2">
              <w:rPr>
                <w:rFonts w:ascii="Garamond" w:hAnsi="Garamond"/>
                <w:b w:val="0"/>
                <w:sz w:val="22"/>
                <w:szCs w:val="22"/>
                <w:highlight w:val="yellow"/>
                <w:lang w:val="ru-RU"/>
              </w:rPr>
              <w:t>.</w:t>
            </w:r>
          </w:p>
          <w:p w:rsidR="00BB4985" w:rsidRPr="00A112B2" w:rsidRDefault="00AA7BF3" w:rsidP="00D339D3">
            <w:pPr>
              <w:pStyle w:val="20"/>
              <w:numPr>
                <w:ilvl w:val="0"/>
                <w:numId w:val="0"/>
              </w:numPr>
              <w:tabs>
                <w:tab w:val="num" w:pos="1440"/>
              </w:tabs>
              <w:spacing w:before="120" w:after="120"/>
              <w:ind w:firstLine="541"/>
              <w:rPr>
                <w:rFonts w:ascii="Garamond" w:hAnsi="Garamond"/>
                <w:b w:val="0"/>
                <w:sz w:val="22"/>
                <w:szCs w:val="22"/>
                <w:highlight w:val="yellow"/>
                <w:lang w:val="ru-RU"/>
              </w:rPr>
            </w:pPr>
            <w:r w:rsidRPr="00A112B2">
              <w:rPr>
                <w:rFonts w:ascii="Garamond" w:hAnsi="Garamond"/>
                <w:b w:val="0"/>
                <w:sz w:val="22"/>
                <w:szCs w:val="22"/>
                <w:highlight w:val="yellow"/>
                <w:lang w:val="ru-RU"/>
              </w:rPr>
              <w:t xml:space="preserve">ЦФР на основании уведомления от Совета рынка об определении участников оптового рынка, в отношении которых применяются особенности оплаты неустойки (пени), не осуществляет расчет неустойки (пени) в отношении указанных участников оптового рынка в </w:t>
            </w:r>
            <w:r w:rsidRPr="00A112B2">
              <w:rPr>
                <w:rFonts w:ascii="Garamond" w:hAnsi="Garamond"/>
                <w:b w:val="0"/>
                <w:sz w:val="22"/>
                <w:szCs w:val="22"/>
                <w:highlight w:val="yellow"/>
                <w:lang w:val="ru-RU"/>
              </w:rPr>
              <w:lastRenderedPageBreak/>
              <w:t>случае неисполнения или ненадлежащего исполнения таким участником обязательств по оплате электрической энергии и (или) мощности, а также услуг инфраструктурных организаций и не включает в Сводный реестр платежей, передаваемый в уполномоченную кредитную организацию, обязательства по оплате неустойки (пени) в случае неисполнения или ненадлежащего исполнения таким участником оптового рынка обязательств по оплате электрической энергии и (или) мощности, а также услу</w:t>
            </w:r>
            <w:r w:rsidR="00471F7B">
              <w:rPr>
                <w:rFonts w:ascii="Garamond" w:hAnsi="Garamond"/>
                <w:b w:val="0"/>
                <w:sz w:val="22"/>
                <w:szCs w:val="22"/>
                <w:highlight w:val="yellow"/>
                <w:lang w:val="ru-RU"/>
              </w:rPr>
              <w:t>г инфраструктурных организаций,</w:t>
            </w:r>
            <w:bookmarkStart w:id="0" w:name="_GoBack"/>
            <w:bookmarkEnd w:id="0"/>
            <w:r w:rsidRPr="00A112B2">
              <w:rPr>
                <w:rFonts w:ascii="Garamond" w:hAnsi="Garamond"/>
                <w:b w:val="0"/>
                <w:sz w:val="22"/>
                <w:szCs w:val="22"/>
                <w:highlight w:val="yellow"/>
                <w:lang w:val="ru-RU"/>
              </w:rPr>
              <w:t xml:space="preserve"> в период с 10 января 2019 года по 21 февраля 2019 года</w:t>
            </w:r>
            <w:r w:rsidR="001030F5">
              <w:rPr>
                <w:rFonts w:ascii="Garamond" w:hAnsi="Garamond"/>
                <w:b w:val="0"/>
                <w:sz w:val="22"/>
                <w:szCs w:val="22"/>
                <w:highlight w:val="yellow"/>
                <w:lang w:val="ru-RU"/>
              </w:rPr>
              <w:t xml:space="preserve"> </w:t>
            </w:r>
            <w:r w:rsidR="001030F5" w:rsidRPr="00A112B2">
              <w:rPr>
                <w:rFonts w:ascii="Garamond" w:hAnsi="Garamond"/>
                <w:b w:val="0"/>
                <w:sz w:val="22"/>
                <w:szCs w:val="22"/>
                <w:highlight w:val="yellow"/>
                <w:lang w:val="ru-RU"/>
              </w:rPr>
              <w:t>(включительно)</w:t>
            </w:r>
            <w:r w:rsidRPr="00A112B2">
              <w:rPr>
                <w:rFonts w:ascii="Garamond" w:hAnsi="Garamond"/>
                <w:b w:val="0"/>
                <w:sz w:val="22"/>
                <w:szCs w:val="22"/>
                <w:highlight w:val="yellow"/>
                <w:lang w:val="ru-RU"/>
              </w:rPr>
              <w:t>.</w:t>
            </w:r>
          </w:p>
          <w:p w:rsidR="00BB4985" w:rsidRPr="00A112B2" w:rsidRDefault="00AA7BF3" w:rsidP="00D339D3">
            <w:pPr>
              <w:pStyle w:val="20"/>
              <w:numPr>
                <w:ilvl w:val="0"/>
                <w:numId w:val="0"/>
              </w:numPr>
              <w:tabs>
                <w:tab w:val="num" w:pos="1440"/>
              </w:tabs>
              <w:spacing w:before="120" w:after="120"/>
              <w:ind w:firstLine="601"/>
              <w:rPr>
                <w:rFonts w:ascii="Garamond" w:hAnsi="Garamond"/>
                <w:b w:val="0"/>
                <w:bCs/>
                <w:sz w:val="22"/>
                <w:szCs w:val="22"/>
                <w:lang w:val="ru-RU"/>
              </w:rPr>
            </w:pPr>
            <w:r w:rsidRPr="00A112B2">
              <w:rPr>
                <w:rFonts w:ascii="Garamond" w:hAnsi="Garamond"/>
                <w:b w:val="0"/>
                <w:sz w:val="22"/>
                <w:szCs w:val="22"/>
                <w:highlight w:val="yellow"/>
                <w:lang w:val="ru-RU"/>
              </w:rPr>
              <w:t>Начиная с 22 февраля 2019 года ЦФР и КО возобновляют расчет неустойки (пени) в отношении неисполненных (исполненных ненадлежащим образом) обязательств в отношении указанных участников оптового рынка в общем порядке, предусмотренном настоящим Регламентом.</w:t>
            </w:r>
          </w:p>
        </w:tc>
      </w:tr>
    </w:tbl>
    <w:p w:rsidR="00BB4985" w:rsidRPr="00DD211C" w:rsidRDefault="00BB4985">
      <w:pPr>
        <w:keepNext/>
        <w:rPr>
          <w:rFonts w:ascii="Garamond" w:hAnsi="Garamond"/>
          <w:b/>
          <w:bCs/>
        </w:rPr>
      </w:pPr>
    </w:p>
    <w:p w:rsidR="00BB4985" w:rsidRPr="00FA42EA" w:rsidRDefault="00AA7BF3" w:rsidP="00FA42EA">
      <w:pPr>
        <w:keepNext/>
        <w:ind w:right="-172"/>
        <w:jc w:val="left"/>
        <w:rPr>
          <w:rFonts w:ascii="Garamond" w:hAnsi="Garamond"/>
          <w:b/>
          <w:bCs/>
          <w:sz w:val="26"/>
          <w:szCs w:val="26"/>
        </w:rPr>
      </w:pPr>
      <w:r w:rsidRPr="00FA42EA">
        <w:rPr>
          <w:rFonts w:ascii="Garamond" w:hAnsi="Garamond"/>
          <w:b/>
          <w:bCs/>
          <w:sz w:val="26"/>
          <w:szCs w:val="26"/>
        </w:rPr>
        <w:t xml:space="preserve">Предложения по изменениям и дополнениям в </w:t>
      </w:r>
      <w:r w:rsidRPr="00FA42EA">
        <w:rPr>
          <w:rFonts w:ascii="Garamond" w:hAnsi="Garamond"/>
          <w:b/>
          <w:bCs/>
          <w:caps/>
          <w:sz w:val="26"/>
          <w:szCs w:val="26"/>
        </w:rPr>
        <w:t xml:space="preserve">ПОЛОЖЕНИЕ О ПОРЯДКЕ ПРЕДОСТАВЛЕНИЯ ФИНАНСОВЫХ ГАРАНТИЙ НА ОПТОВОМ РЫНКЕ </w:t>
      </w:r>
      <w:r w:rsidRPr="00FA42EA">
        <w:rPr>
          <w:rFonts w:ascii="Garamond" w:hAnsi="Garamond"/>
          <w:b/>
          <w:bCs/>
          <w:sz w:val="26"/>
          <w:szCs w:val="26"/>
        </w:rPr>
        <w:t>(</w:t>
      </w:r>
      <w:r w:rsidR="00FA42EA">
        <w:rPr>
          <w:rFonts w:ascii="Garamond" w:hAnsi="Garamond"/>
          <w:b/>
          <w:bCs/>
          <w:sz w:val="26"/>
          <w:szCs w:val="26"/>
        </w:rPr>
        <w:t>П</w:t>
      </w:r>
      <w:r w:rsidRPr="00FA42EA">
        <w:rPr>
          <w:rFonts w:ascii="Garamond" w:hAnsi="Garamond"/>
          <w:b/>
          <w:bCs/>
          <w:sz w:val="26"/>
          <w:szCs w:val="26"/>
        </w:rPr>
        <w:t xml:space="preserve">риложение № 26 к </w:t>
      </w:r>
      <w:r w:rsidR="00FA42EA">
        <w:rPr>
          <w:rFonts w:ascii="Garamond" w:hAnsi="Garamond"/>
          <w:b/>
          <w:bCs/>
          <w:sz w:val="26"/>
          <w:szCs w:val="26"/>
        </w:rPr>
        <w:t>Д</w:t>
      </w:r>
      <w:r w:rsidRPr="00FA42EA">
        <w:rPr>
          <w:rFonts w:ascii="Garamond" w:hAnsi="Garamond"/>
          <w:b/>
          <w:bCs/>
          <w:sz w:val="26"/>
          <w:szCs w:val="26"/>
        </w:rPr>
        <w:t>оговору о присоединении к торговой системе оптового рынка)</w:t>
      </w:r>
    </w:p>
    <w:p w:rsidR="00BB4985" w:rsidRPr="00DD211C" w:rsidRDefault="00BB4985">
      <w:pPr>
        <w:keepNext/>
        <w:rPr>
          <w:rFonts w:ascii="Garamond" w:hAnsi="Garamond"/>
          <w:b/>
          <w:bCs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8"/>
        <w:gridCol w:w="5791"/>
        <w:gridCol w:w="8222"/>
      </w:tblGrid>
      <w:tr w:rsidR="00BB4985" w:rsidRPr="00FA42EA" w:rsidTr="00D339D3">
        <w:trPr>
          <w:trHeight w:val="435"/>
        </w:trPr>
        <w:tc>
          <w:tcPr>
            <w:tcW w:w="1008" w:type="dxa"/>
            <w:vAlign w:val="center"/>
          </w:tcPr>
          <w:p w:rsidR="00BB4985" w:rsidRPr="00FA42EA" w:rsidRDefault="00AA7BF3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A42EA">
              <w:rPr>
                <w:rFonts w:ascii="Garamond" w:hAnsi="Garamond"/>
                <w:b/>
                <w:bCs/>
                <w:sz w:val="22"/>
                <w:szCs w:val="22"/>
              </w:rPr>
              <w:t>№</w:t>
            </w:r>
          </w:p>
          <w:p w:rsidR="00BB4985" w:rsidRPr="00FA42EA" w:rsidRDefault="00AA7BF3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A42EA">
              <w:rPr>
                <w:rFonts w:ascii="Garamond" w:hAnsi="Garamond"/>
                <w:b/>
                <w:bCs/>
                <w:sz w:val="22"/>
                <w:szCs w:val="22"/>
              </w:rPr>
              <w:t>пункта</w:t>
            </w:r>
          </w:p>
        </w:tc>
        <w:tc>
          <w:tcPr>
            <w:tcW w:w="5791" w:type="dxa"/>
            <w:vAlign w:val="center"/>
          </w:tcPr>
          <w:p w:rsidR="00BB4985" w:rsidRPr="00FA42EA" w:rsidRDefault="00AA7BF3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A42EA">
              <w:rPr>
                <w:rFonts w:ascii="Garamond" w:hAnsi="Garamond"/>
                <w:b/>
                <w:bCs/>
                <w:sz w:val="22"/>
                <w:szCs w:val="22"/>
              </w:rPr>
              <w:t xml:space="preserve">Редакция, действующая на момент </w:t>
            </w:r>
          </w:p>
          <w:p w:rsidR="00BB4985" w:rsidRPr="00FA42EA" w:rsidRDefault="00AA7BF3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A42EA">
              <w:rPr>
                <w:rFonts w:ascii="Garamond" w:hAnsi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8222" w:type="dxa"/>
            <w:vAlign w:val="center"/>
          </w:tcPr>
          <w:p w:rsidR="00BB4985" w:rsidRPr="00FA42EA" w:rsidRDefault="00AA7BF3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A42EA">
              <w:rPr>
                <w:rFonts w:ascii="Garamond" w:hAnsi="Garamond"/>
                <w:b/>
                <w:bCs/>
                <w:sz w:val="22"/>
                <w:szCs w:val="22"/>
              </w:rPr>
              <w:t>Предлагаемая редакция</w:t>
            </w:r>
          </w:p>
          <w:p w:rsidR="00BB4985" w:rsidRPr="00FA42EA" w:rsidRDefault="00AA7BF3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FA42EA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BB4985" w:rsidRPr="00FA42EA" w:rsidTr="00D339D3">
        <w:trPr>
          <w:trHeight w:val="435"/>
        </w:trPr>
        <w:tc>
          <w:tcPr>
            <w:tcW w:w="1008" w:type="dxa"/>
            <w:vAlign w:val="center"/>
          </w:tcPr>
          <w:p w:rsidR="00BB4985" w:rsidRPr="00FA42EA" w:rsidRDefault="00FA42EA" w:rsidP="00D339D3">
            <w:pPr>
              <w:spacing w:before="120" w:after="120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</w:rPr>
              <w:t>1.5</w:t>
            </w:r>
          </w:p>
        </w:tc>
        <w:tc>
          <w:tcPr>
            <w:tcW w:w="5791" w:type="dxa"/>
            <w:vAlign w:val="center"/>
          </w:tcPr>
          <w:p w:rsidR="00BB4985" w:rsidRPr="00FA42EA" w:rsidRDefault="00AA7BF3" w:rsidP="00D339D3">
            <w:pPr>
              <w:widowControl/>
              <w:tabs>
                <w:tab w:val="left" w:pos="567"/>
              </w:tabs>
              <w:autoSpaceDE w:val="0"/>
              <w:autoSpaceDN w:val="0"/>
              <w:adjustRightInd/>
              <w:spacing w:before="120" w:after="120"/>
              <w:textAlignment w:val="auto"/>
              <w:rPr>
                <w:rFonts w:ascii="Garamond" w:hAnsi="Garamond"/>
                <w:sz w:val="22"/>
                <w:szCs w:val="22"/>
              </w:rPr>
            </w:pPr>
            <w:r w:rsidRPr="00FA42EA">
              <w:rPr>
                <w:rFonts w:ascii="Garamond" w:hAnsi="Garamond"/>
                <w:sz w:val="22"/>
                <w:szCs w:val="22"/>
              </w:rPr>
              <w:t xml:space="preserve">1.5. ЦФР не позднее 27-го числа месяца </w:t>
            </w:r>
            <w:r w:rsidRPr="00FA42EA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FA42EA">
              <w:rPr>
                <w:rFonts w:ascii="Garamond" w:hAnsi="Garamond"/>
                <w:i/>
                <w:sz w:val="22"/>
                <w:szCs w:val="22"/>
              </w:rPr>
              <w:t>–</w:t>
            </w:r>
            <w:r w:rsidRPr="00FA42EA">
              <w:rPr>
                <w:rFonts w:ascii="Garamond" w:hAnsi="Garamond"/>
                <w:sz w:val="22"/>
                <w:szCs w:val="22"/>
              </w:rPr>
              <w:t xml:space="preserve">2 либо на следующий рабочий день, если 27-е число приходится на нерабочий день, в соответствии с приложением 7 к настоящему Положению, формирует реестр покупателей, обязанных/не обязанных предоставлять финансовую гарантию в порядке, определяемом настоящим Положением, а также уведомляет покупателей о необходимости или об отсутствии необходимости предоставления финансовых гарантий на месяц </w:t>
            </w:r>
            <w:r w:rsidRPr="00FA42EA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FA42EA">
              <w:rPr>
                <w:rFonts w:ascii="Garamond" w:hAnsi="Garamond"/>
                <w:sz w:val="22"/>
                <w:szCs w:val="22"/>
              </w:rPr>
              <w:t xml:space="preserve"> путем размещения соответствующих уведомлений в электронном виде</w:t>
            </w:r>
            <w:r w:rsidRPr="00FA42EA">
              <w:rPr>
                <w:rFonts w:ascii="Garamond" w:hAnsi="Garamond"/>
                <w:color w:val="000000"/>
                <w:sz w:val="22"/>
                <w:szCs w:val="22"/>
              </w:rPr>
              <w:t xml:space="preserve"> за </w:t>
            </w:r>
            <w:r w:rsidRPr="00FA42EA">
              <w:rPr>
                <w:rFonts w:ascii="Garamond" w:hAnsi="Garamond"/>
                <w:sz w:val="22"/>
                <w:szCs w:val="22"/>
              </w:rPr>
              <w:t>ЭП в разделе с ограниченным в соответствии с Правилами ЭДО СЭД КО доступом на официальном интернет-сайте КО</w:t>
            </w:r>
            <w:r w:rsidRPr="00FA42EA">
              <w:rPr>
                <w:rFonts w:ascii="Garamond" w:hAnsi="Garamond"/>
                <w:sz w:val="22"/>
                <w:szCs w:val="22"/>
                <w:lang w:eastAsia="en-US"/>
              </w:rPr>
              <w:t xml:space="preserve"> п</w:t>
            </w:r>
            <w:r w:rsidRPr="00FA42EA">
              <w:rPr>
                <w:rFonts w:ascii="Garamond" w:hAnsi="Garamond"/>
                <w:color w:val="000000"/>
                <w:sz w:val="22"/>
                <w:szCs w:val="22"/>
              </w:rPr>
              <w:t>о формам согласно приложению 4.1а и приложению 4.1б к настоящему Положению. Данный реестр покупателей,</w:t>
            </w:r>
            <w:r w:rsidRPr="00FA42EA">
              <w:rPr>
                <w:rFonts w:ascii="Garamond" w:hAnsi="Garamond"/>
                <w:sz w:val="22"/>
                <w:szCs w:val="22"/>
              </w:rPr>
              <w:t xml:space="preserve"> обязанных/не обязанных предоставлять финансовую гарантию</w:t>
            </w:r>
            <w:r w:rsidRPr="00FA42EA">
              <w:rPr>
                <w:rFonts w:ascii="Garamond" w:hAnsi="Garamond"/>
                <w:color w:val="000000"/>
                <w:sz w:val="22"/>
                <w:szCs w:val="22"/>
              </w:rPr>
              <w:t xml:space="preserve"> на месяц </w:t>
            </w:r>
            <w:r w:rsidRPr="00FA42EA">
              <w:rPr>
                <w:rFonts w:ascii="Garamond" w:hAnsi="Garamond"/>
                <w:i/>
                <w:color w:val="000000"/>
                <w:sz w:val="22"/>
                <w:szCs w:val="22"/>
                <w:lang w:val="en-US"/>
              </w:rPr>
              <w:t>m</w:t>
            </w:r>
            <w:r w:rsidRPr="00FA42EA">
              <w:rPr>
                <w:rFonts w:ascii="Garamond" w:hAnsi="Garamond"/>
                <w:color w:val="000000"/>
                <w:sz w:val="22"/>
                <w:szCs w:val="22"/>
              </w:rPr>
              <w:t xml:space="preserve">, ЦФР передает КО до 1-го числа месяца </w:t>
            </w:r>
            <w:r w:rsidRPr="00FA42EA">
              <w:rPr>
                <w:rFonts w:ascii="Garamond" w:hAnsi="Garamond"/>
                <w:i/>
                <w:color w:val="000000"/>
                <w:sz w:val="22"/>
                <w:szCs w:val="22"/>
                <w:lang w:val="en-US"/>
              </w:rPr>
              <w:t>m</w:t>
            </w:r>
            <w:r w:rsidRPr="00FA42EA">
              <w:rPr>
                <w:rFonts w:ascii="Garamond" w:hAnsi="Garamond"/>
                <w:i/>
                <w:color w:val="000000"/>
                <w:sz w:val="22"/>
                <w:szCs w:val="22"/>
              </w:rPr>
              <w:t>–</w:t>
            </w:r>
            <w:r w:rsidRPr="00FA42EA">
              <w:rPr>
                <w:rFonts w:ascii="Garamond" w:hAnsi="Garamond"/>
                <w:color w:val="000000"/>
                <w:sz w:val="22"/>
                <w:szCs w:val="22"/>
              </w:rPr>
              <w:t>1</w:t>
            </w:r>
            <w:r w:rsidRPr="00FA42EA">
              <w:rPr>
                <w:rFonts w:ascii="Garamond" w:hAnsi="Garamond"/>
                <w:i/>
                <w:color w:val="000000"/>
                <w:sz w:val="22"/>
                <w:szCs w:val="22"/>
              </w:rPr>
              <w:t xml:space="preserve"> </w:t>
            </w:r>
            <w:r w:rsidRPr="00FA42EA">
              <w:rPr>
                <w:rFonts w:ascii="Garamond" w:hAnsi="Garamond"/>
                <w:color w:val="000000"/>
                <w:sz w:val="22"/>
                <w:szCs w:val="22"/>
              </w:rPr>
              <w:t xml:space="preserve">в электронном виде в формате </w:t>
            </w:r>
            <w:r w:rsidRPr="00FA42EA">
              <w:rPr>
                <w:rFonts w:ascii="Garamond" w:hAnsi="Garamond"/>
                <w:color w:val="000000"/>
                <w:sz w:val="22"/>
                <w:szCs w:val="22"/>
                <w:lang w:val="en-US"/>
              </w:rPr>
              <w:t>xml</w:t>
            </w:r>
            <w:r w:rsidRPr="00FA42EA">
              <w:rPr>
                <w:rFonts w:ascii="Garamond" w:hAnsi="Garamond"/>
                <w:color w:val="000000"/>
                <w:sz w:val="22"/>
                <w:szCs w:val="22"/>
              </w:rPr>
              <w:t xml:space="preserve"> за ЭП.</w:t>
            </w:r>
            <w:r w:rsidRPr="00FA42EA">
              <w:rPr>
                <w:rFonts w:ascii="Garamond" w:hAnsi="Garamond"/>
                <w:sz w:val="22"/>
                <w:szCs w:val="22"/>
              </w:rPr>
              <w:tab/>
              <w:t xml:space="preserve">Начиная с месяца </w:t>
            </w:r>
            <w:r w:rsidRPr="00FA42EA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FA42EA">
              <w:rPr>
                <w:rFonts w:ascii="Garamond" w:hAnsi="Garamond"/>
                <w:sz w:val="22"/>
                <w:szCs w:val="22"/>
              </w:rPr>
              <w:t xml:space="preserve">–1, соответствующего апрелю 2014 года, ЦФР передает данный </w:t>
            </w:r>
            <w:r w:rsidRPr="00FA42EA">
              <w:rPr>
                <w:rFonts w:ascii="Garamond" w:hAnsi="Garamond"/>
                <w:sz w:val="22"/>
                <w:szCs w:val="22"/>
              </w:rPr>
              <w:lastRenderedPageBreak/>
              <w:t xml:space="preserve">реестр в электронном виде за ЭП в Совет рынка не позднее 1-го числа месяца </w:t>
            </w:r>
            <w:r w:rsidRPr="00FA42EA">
              <w:rPr>
                <w:rFonts w:ascii="Garamond" w:hAnsi="Garamond"/>
                <w:i/>
                <w:iCs/>
                <w:sz w:val="22"/>
                <w:szCs w:val="22"/>
                <w:lang w:val="en-US"/>
              </w:rPr>
              <w:t>m</w:t>
            </w:r>
            <w:r w:rsidRPr="00FA42EA">
              <w:rPr>
                <w:rFonts w:ascii="Garamond" w:hAnsi="Garamond"/>
                <w:i/>
                <w:iCs/>
                <w:sz w:val="22"/>
                <w:szCs w:val="22"/>
              </w:rPr>
              <w:t>–</w:t>
            </w:r>
            <w:r w:rsidRPr="00FA42EA">
              <w:rPr>
                <w:rFonts w:ascii="Garamond" w:hAnsi="Garamond"/>
                <w:sz w:val="22"/>
                <w:szCs w:val="22"/>
              </w:rPr>
              <w:t>1.</w:t>
            </w:r>
          </w:p>
        </w:tc>
        <w:tc>
          <w:tcPr>
            <w:tcW w:w="8222" w:type="dxa"/>
            <w:vAlign w:val="center"/>
          </w:tcPr>
          <w:p w:rsidR="00BB4985" w:rsidRPr="00FA42EA" w:rsidRDefault="00AA7BF3" w:rsidP="00D339D3">
            <w:pPr>
              <w:spacing w:before="120" w:after="120"/>
              <w:rPr>
                <w:rFonts w:ascii="Garamond" w:hAnsi="Garamond"/>
                <w:sz w:val="22"/>
                <w:szCs w:val="22"/>
              </w:rPr>
            </w:pPr>
            <w:r w:rsidRPr="00FA42EA">
              <w:rPr>
                <w:rFonts w:ascii="Garamond" w:hAnsi="Garamond"/>
                <w:sz w:val="22"/>
                <w:szCs w:val="22"/>
              </w:rPr>
              <w:lastRenderedPageBreak/>
              <w:t xml:space="preserve">1.5. ЦФР не позднее 27-го числа месяца </w:t>
            </w:r>
            <w:r w:rsidRPr="00FA42EA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FA42EA">
              <w:rPr>
                <w:rFonts w:ascii="Garamond" w:hAnsi="Garamond"/>
                <w:i/>
                <w:sz w:val="22"/>
                <w:szCs w:val="22"/>
              </w:rPr>
              <w:t>–</w:t>
            </w:r>
            <w:r w:rsidRPr="00FA42EA">
              <w:rPr>
                <w:rFonts w:ascii="Garamond" w:hAnsi="Garamond"/>
                <w:sz w:val="22"/>
                <w:szCs w:val="22"/>
              </w:rPr>
              <w:t>2 либо на следующий рабочий день, если 27-е число приходится на нерабочий день,</w:t>
            </w:r>
            <w:r w:rsidR="00D339D3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FA42EA">
              <w:rPr>
                <w:rFonts w:ascii="Garamond" w:hAnsi="Garamond"/>
                <w:sz w:val="22"/>
                <w:szCs w:val="22"/>
              </w:rPr>
              <w:t xml:space="preserve">в соответствии с приложением 7 к настоящему Положению, формирует реестр покупателей, обязанных/не обязанных предоставлять финансовую гарантию в порядке, определяемом настоящим Положением, а также уведомляет покупателей </w:t>
            </w:r>
            <w:r w:rsidRPr="00FA42EA">
              <w:rPr>
                <w:rFonts w:ascii="Garamond" w:hAnsi="Garamond"/>
                <w:sz w:val="22"/>
                <w:szCs w:val="22"/>
              </w:rPr>
              <w:br/>
              <w:t xml:space="preserve">о необходимости или об отсутствии необходимости предоставления финансовых гарантий на месяц </w:t>
            </w:r>
            <w:r w:rsidRPr="00FA42EA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FA42EA">
              <w:rPr>
                <w:rFonts w:ascii="Garamond" w:hAnsi="Garamond"/>
                <w:sz w:val="22"/>
                <w:szCs w:val="22"/>
              </w:rPr>
              <w:t xml:space="preserve"> путем размещения соответствующих уведомлений в электронном виде</w:t>
            </w:r>
            <w:r w:rsidRPr="00FA42EA">
              <w:rPr>
                <w:rFonts w:ascii="Garamond" w:hAnsi="Garamond"/>
                <w:color w:val="000000"/>
                <w:sz w:val="22"/>
                <w:szCs w:val="22"/>
              </w:rPr>
              <w:t xml:space="preserve"> за </w:t>
            </w:r>
            <w:r w:rsidRPr="00FA42EA">
              <w:rPr>
                <w:rFonts w:ascii="Garamond" w:hAnsi="Garamond"/>
                <w:sz w:val="22"/>
                <w:szCs w:val="22"/>
              </w:rPr>
              <w:t>ЭП в разделе с ограниченным в соответствии с Правилами ЭДО СЭД КО доступом на официальном интернет-сайте КО</w:t>
            </w:r>
            <w:r w:rsidRPr="00FA42EA">
              <w:rPr>
                <w:rFonts w:ascii="Garamond" w:hAnsi="Garamond"/>
                <w:sz w:val="22"/>
                <w:szCs w:val="22"/>
                <w:lang w:eastAsia="en-US"/>
              </w:rPr>
              <w:t xml:space="preserve"> п</w:t>
            </w:r>
            <w:r w:rsidRPr="00FA42EA">
              <w:rPr>
                <w:rFonts w:ascii="Garamond" w:hAnsi="Garamond"/>
                <w:color w:val="000000"/>
                <w:sz w:val="22"/>
                <w:szCs w:val="22"/>
              </w:rPr>
              <w:t>о формам согласно приложению 4.1а и приложению 4.1б к настоящему Положению. Данный реестр покупателей,</w:t>
            </w:r>
            <w:r w:rsidRPr="00FA42EA">
              <w:rPr>
                <w:rFonts w:ascii="Garamond" w:hAnsi="Garamond"/>
                <w:sz w:val="22"/>
                <w:szCs w:val="22"/>
              </w:rPr>
              <w:t xml:space="preserve"> обязанных/не обязанных предоставлять финансовую гарантию</w:t>
            </w:r>
            <w:r w:rsidRPr="00FA42EA">
              <w:rPr>
                <w:rFonts w:ascii="Garamond" w:hAnsi="Garamond"/>
                <w:color w:val="000000"/>
                <w:sz w:val="22"/>
                <w:szCs w:val="22"/>
              </w:rPr>
              <w:t xml:space="preserve"> на месяц </w:t>
            </w:r>
            <w:r w:rsidRPr="00FA42EA">
              <w:rPr>
                <w:rFonts w:ascii="Garamond" w:hAnsi="Garamond"/>
                <w:i/>
                <w:color w:val="000000"/>
                <w:sz w:val="22"/>
                <w:szCs w:val="22"/>
                <w:lang w:val="en-US"/>
              </w:rPr>
              <w:t>m</w:t>
            </w:r>
            <w:r w:rsidRPr="00FA42EA">
              <w:rPr>
                <w:rFonts w:ascii="Garamond" w:hAnsi="Garamond"/>
                <w:color w:val="000000"/>
                <w:sz w:val="22"/>
                <w:szCs w:val="22"/>
              </w:rPr>
              <w:t xml:space="preserve">, ЦФР передает КО до 1-го числа месяца </w:t>
            </w:r>
            <w:r w:rsidRPr="00FA42EA">
              <w:rPr>
                <w:rFonts w:ascii="Garamond" w:hAnsi="Garamond"/>
                <w:i/>
                <w:color w:val="000000"/>
                <w:sz w:val="22"/>
                <w:szCs w:val="22"/>
                <w:lang w:val="en-US"/>
              </w:rPr>
              <w:t>m</w:t>
            </w:r>
            <w:r w:rsidRPr="00FA42EA">
              <w:rPr>
                <w:rFonts w:ascii="Garamond" w:hAnsi="Garamond"/>
                <w:i/>
                <w:color w:val="000000"/>
                <w:sz w:val="22"/>
                <w:szCs w:val="22"/>
              </w:rPr>
              <w:t>–</w:t>
            </w:r>
            <w:r w:rsidRPr="00FA42EA">
              <w:rPr>
                <w:rFonts w:ascii="Garamond" w:hAnsi="Garamond"/>
                <w:color w:val="000000"/>
                <w:sz w:val="22"/>
                <w:szCs w:val="22"/>
              </w:rPr>
              <w:t>1</w:t>
            </w:r>
            <w:r w:rsidRPr="00FA42EA">
              <w:rPr>
                <w:rFonts w:ascii="Garamond" w:hAnsi="Garamond"/>
                <w:i/>
                <w:color w:val="000000"/>
                <w:sz w:val="22"/>
                <w:szCs w:val="22"/>
              </w:rPr>
              <w:t xml:space="preserve"> </w:t>
            </w:r>
            <w:r w:rsidRPr="00FA42EA">
              <w:rPr>
                <w:rFonts w:ascii="Garamond" w:hAnsi="Garamond"/>
                <w:color w:val="000000"/>
                <w:sz w:val="22"/>
                <w:szCs w:val="22"/>
              </w:rPr>
              <w:t xml:space="preserve">в электронном виде в формате </w:t>
            </w:r>
            <w:r w:rsidRPr="00FA42EA">
              <w:rPr>
                <w:rFonts w:ascii="Garamond" w:hAnsi="Garamond"/>
                <w:color w:val="000000"/>
                <w:sz w:val="22"/>
                <w:szCs w:val="22"/>
                <w:lang w:val="en-US"/>
              </w:rPr>
              <w:t>xml</w:t>
            </w:r>
            <w:r w:rsidRPr="00FA42EA">
              <w:rPr>
                <w:rFonts w:ascii="Garamond" w:hAnsi="Garamond"/>
                <w:color w:val="000000"/>
                <w:sz w:val="22"/>
                <w:szCs w:val="22"/>
              </w:rPr>
              <w:t xml:space="preserve"> за ЭП.</w:t>
            </w:r>
            <w:r w:rsidRPr="00FA42EA">
              <w:rPr>
                <w:rFonts w:ascii="Garamond" w:hAnsi="Garamond"/>
                <w:sz w:val="22"/>
                <w:szCs w:val="22"/>
              </w:rPr>
              <w:t xml:space="preserve"> Начиная</w:t>
            </w:r>
            <w:r w:rsidR="00D339D3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FA42EA">
              <w:rPr>
                <w:rFonts w:ascii="Garamond" w:hAnsi="Garamond"/>
                <w:sz w:val="22"/>
                <w:szCs w:val="22"/>
              </w:rPr>
              <w:t xml:space="preserve">с месяца </w:t>
            </w:r>
            <w:r w:rsidRPr="00FA42EA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FA42EA">
              <w:rPr>
                <w:rFonts w:ascii="Garamond" w:hAnsi="Garamond"/>
                <w:sz w:val="22"/>
                <w:szCs w:val="22"/>
              </w:rPr>
              <w:t xml:space="preserve">–1, соответствующего апрелю 2014 года, ЦФР передает данный реестр в электронном виде за ЭП в Совет рынка не позднее 1-го числа месяца </w:t>
            </w:r>
            <w:r w:rsidRPr="00FA42EA">
              <w:rPr>
                <w:rFonts w:ascii="Garamond" w:hAnsi="Garamond"/>
                <w:i/>
                <w:iCs/>
                <w:sz w:val="22"/>
                <w:szCs w:val="22"/>
                <w:lang w:val="en-US"/>
              </w:rPr>
              <w:t>m</w:t>
            </w:r>
            <w:r w:rsidRPr="00FA42EA">
              <w:rPr>
                <w:rFonts w:ascii="Garamond" w:hAnsi="Garamond"/>
                <w:i/>
                <w:iCs/>
                <w:sz w:val="22"/>
                <w:szCs w:val="22"/>
              </w:rPr>
              <w:t>–</w:t>
            </w:r>
            <w:r w:rsidRPr="00FA42EA">
              <w:rPr>
                <w:rFonts w:ascii="Garamond" w:hAnsi="Garamond"/>
                <w:sz w:val="22"/>
                <w:szCs w:val="22"/>
              </w:rPr>
              <w:t>1.</w:t>
            </w:r>
          </w:p>
          <w:p w:rsidR="00BB4985" w:rsidRPr="00FA42EA" w:rsidRDefault="00AA7BF3" w:rsidP="001030F5">
            <w:pPr>
              <w:pStyle w:val="20"/>
              <w:numPr>
                <w:ilvl w:val="0"/>
                <w:numId w:val="0"/>
              </w:numPr>
              <w:tabs>
                <w:tab w:val="num" w:pos="1440"/>
                <w:tab w:val="num" w:pos="1866"/>
              </w:tabs>
              <w:spacing w:before="120" w:after="120"/>
              <w:ind w:firstLine="181"/>
              <w:rPr>
                <w:rFonts w:ascii="Garamond" w:hAnsi="Garamond"/>
                <w:b w:val="0"/>
                <w:bCs/>
                <w:sz w:val="22"/>
                <w:szCs w:val="22"/>
                <w:lang w:val="ru-RU"/>
              </w:rPr>
            </w:pPr>
            <w:r w:rsidRPr="00FA42EA">
              <w:rPr>
                <w:rFonts w:ascii="Garamond" w:hAnsi="Garamond"/>
                <w:sz w:val="22"/>
                <w:szCs w:val="22"/>
                <w:lang w:val="ru-RU"/>
              </w:rPr>
              <w:t xml:space="preserve"> </w:t>
            </w:r>
            <w:r w:rsidRPr="00FA42EA">
              <w:rPr>
                <w:rFonts w:ascii="Garamond" w:hAnsi="Garamond"/>
                <w:b w:val="0"/>
                <w:sz w:val="22"/>
                <w:szCs w:val="22"/>
                <w:highlight w:val="yellow"/>
                <w:lang w:val="ru-RU"/>
              </w:rPr>
              <w:t>В срок до 4 февраля 2019 года ЦФР повторно формирует измен</w:t>
            </w:r>
            <w:r w:rsidR="001030F5">
              <w:rPr>
                <w:rFonts w:ascii="Garamond" w:hAnsi="Garamond"/>
                <w:b w:val="0"/>
                <w:sz w:val="22"/>
                <w:szCs w:val="22"/>
                <w:highlight w:val="yellow"/>
                <w:lang w:val="ru-RU"/>
              </w:rPr>
              <w:t>е</w:t>
            </w:r>
            <w:r w:rsidRPr="00FA42EA">
              <w:rPr>
                <w:rFonts w:ascii="Garamond" w:hAnsi="Garamond"/>
                <w:b w:val="0"/>
                <w:sz w:val="22"/>
                <w:szCs w:val="22"/>
                <w:highlight w:val="yellow"/>
                <w:lang w:val="ru-RU"/>
              </w:rPr>
              <w:t>нный реестр покупателей, обязанных/не обязанных предоставлять финансовую гарантию в порядке, определяемом настоящим Положением, с учетом особенностей</w:t>
            </w:r>
            <w:r w:rsidR="001030F5">
              <w:rPr>
                <w:rFonts w:ascii="Garamond" w:hAnsi="Garamond"/>
                <w:b w:val="0"/>
                <w:sz w:val="22"/>
                <w:szCs w:val="22"/>
                <w:highlight w:val="yellow"/>
                <w:lang w:val="ru-RU"/>
              </w:rPr>
              <w:t>,</w:t>
            </w:r>
            <w:r w:rsidRPr="00FA42EA">
              <w:rPr>
                <w:rFonts w:ascii="Garamond" w:hAnsi="Garamond"/>
                <w:b w:val="0"/>
                <w:sz w:val="22"/>
                <w:szCs w:val="22"/>
                <w:highlight w:val="yellow"/>
                <w:lang w:val="ru-RU"/>
              </w:rPr>
              <w:t xml:space="preserve"> предусмотренных в </w:t>
            </w:r>
            <w:r w:rsidR="00D339D3">
              <w:rPr>
                <w:rFonts w:ascii="Garamond" w:hAnsi="Garamond"/>
                <w:b w:val="0"/>
                <w:sz w:val="22"/>
                <w:szCs w:val="22"/>
                <w:highlight w:val="yellow"/>
                <w:lang w:val="ru-RU"/>
              </w:rPr>
              <w:t>п</w:t>
            </w:r>
            <w:r w:rsidRPr="00FA42EA">
              <w:rPr>
                <w:rFonts w:ascii="Garamond" w:hAnsi="Garamond"/>
                <w:b w:val="0"/>
                <w:sz w:val="22"/>
                <w:szCs w:val="22"/>
                <w:highlight w:val="yellow"/>
                <w:lang w:val="ru-RU"/>
              </w:rPr>
              <w:t xml:space="preserve">риложении 7 к настоящему </w:t>
            </w:r>
            <w:r w:rsidR="001030F5">
              <w:rPr>
                <w:rFonts w:ascii="Garamond" w:hAnsi="Garamond"/>
                <w:b w:val="0"/>
                <w:sz w:val="22"/>
                <w:szCs w:val="22"/>
                <w:highlight w:val="yellow"/>
                <w:lang w:val="ru-RU"/>
              </w:rPr>
              <w:t>Положению,</w:t>
            </w:r>
            <w:r w:rsidRPr="00FA42EA">
              <w:rPr>
                <w:rFonts w:ascii="Garamond" w:hAnsi="Garamond"/>
                <w:b w:val="0"/>
                <w:sz w:val="22"/>
                <w:szCs w:val="22"/>
                <w:highlight w:val="yellow"/>
                <w:lang w:val="ru-RU"/>
              </w:rPr>
              <w:t xml:space="preserve"> в отношении покупателей, указанных в </w:t>
            </w:r>
            <w:r w:rsidRPr="00FA42EA">
              <w:rPr>
                <w:rFonts w:ascii="Garamond" w:hAnsi="Garamond"/>
                <w:b w:val="0"/>
                <w:sz w:val="22"/>
                <w:szCs w:val="22"/>
                <w:highlight w:val="yellow"/>
                <w:lang w:val="ru-RU"/>
              </w:rPr>
              <w:lastRenderedPageBreak/>
              <w:t xml:space="preserve">перечне участников, направленном Советом рынка в ЦФР в соответствии с пунктом 12.5.4 </w:t>
            </w:r>
            <w:r w:rsidRPr="00D339D3">
              <w:rPr>
                <w:rFonts w:ascii="Garamond" w:hAnsi="Garamond"/>
                <w:b w:val="0"/>
                <w:i/>
                <w:sz w:val="22"/>
                <w:szCs w:val="22"/>
                <w:highlight w:val="yellow"/>
                <w:lang w:val="ru-RU"/>
              </w:rPr>
              <w:t>Регламента финансовых расчетов</w:t>
            </w:r>
            <w:r w:rsidR="00D339D3">
              <w:rPr>
                <w:rFonts w:ascii="Garamond" w:hAnsi="Garamond"/>
                <w:b w:val="0"/>
                <w:i/>
                <w:sz w:val="22"/>
                <w:szCs w:val="22"/>
                <w:highlight w:val="yellow"/>
                <w:lang w:val="ru-RU"/>
              </w:rPr>
              <w:t xml:space="preserve"> </w:t>
            </w:r>
            <w:r w:rsidR="00D339D3" w:rsidRPr="00D339D3">
              <w:rPr>
                <w:rFonts w:ascii="Garamond" w:hAnsi="Garamond"/>
                <w:b w:val="0"/>
                <w:i/>
                <w:sz w:val="22"/>
                <w:szCs w:val="22"/>
                <w:highlight w:val="yellow"/>
                <w:lang w:val="ru-RU"/>
              </w:rPr>
              <w:t xml:space="preserve">на оптовом рынке электроэнергии </w:t>
            </w:r>
            <w:r w:rsidRPr="00FA42EA">
              <w:rPr>
                <w:rFonts w:ascii="Garamond" w:hAnsi="Garamond"/>
                <w:b w:val="0"/>
                <w:sz w:val="22"/>
                <w:szCs w:val="22"/>
                <w:highlight w:val="yellow"/>
                <w:lang w:val="ru-RU"/>
              </w:rPr>
              <w:t xml:space="preserve">(Приложение № 16 к </w:t>
            </w:r>
            <w:r w:rsidRPr="00D339D3">
              <w:rPr>
                <w:rFonts w:ascii="Garamond" w:hAnsi="Garamond"/>
                <w:b w:val="0"/>
                <w:i/>
                <w:sz w:val="22"/>
                <w:szCs w:val="22"/>
                <w:highlight w:val="yellow"/>
                <w:lang w:val="ru-RU"/>
              </w:rPr>
              <w:t>Договору о присоединении к торговой системе оптового рынка</w:t>
            </w:r>
            <w:r w:rsidRPr="00FA42EA">
              <w:rPr>
                <w:rFonts w:ascii="Garamond" w:hAnsi="Garamond"/>
                <w:b w:val="0"/>
                <w:sz w:val="22"/>
                <w:szCs w:val="22"/>
                <w:highlight w:val="yellow"/>
                <w:lang w:val="ru-RU"/>
              </w:rPr>
              <w:t xml:space="preserve">), а также на основании указанного измененного реестра повторно уведомляет покупателей о необходимости или об отсутствии необходимости предоставления финансовых гарантий на март 2019 года путем размещения соответствующих уведомлений в электронном виде за ЭП в разделе с ограниченным в соответствии с Правилами ЭДО СЭД КО доступом на официальном интернет-сайте КО по формам согласно приложению 4.1а и приложению 4.1б к настоящему Положению. Измененный реестр покупателей, обязанных/не обязанных предоставлять финансовую гарантию на месяц </w:t>
            </w:r>
            <w:r w:rsidRPr="00D339D3">
              <w:rPr>
                <w:rFonts w:ascii="Garamond" w:hAnsi="Garamond"/>
                <w:b w:val="0"/>
                <w:i/>
                <w:sz w:val="22"/>
                <w:szCs w:val="22"/>
                <w:highlight w:val="yellow"/>
                <w:lang w:val="ru-RU"/>
              </w:rPr>
              <w:t>m</w:t>
            </w:r>
            <w:r w:rsidRPr="00FA42EA">
              <w:rPr>
                <w:rFonts w:ascii="Garamond" w:hAnsi="Garamond"/>
                <w:b w:val="0"/>
                <w:sz w:val="22"/>
                <w:szCs w:val="22"/>
                <w:highlight w:val="yellow"/>
                <w:lang w:val="ru-RU"/>
              </w:rPr>
              <w:t xml:space="preserve">, ЦФР передает КО и в Совет рынка не позднее 5 февраля 2019 года в электронном виде в формате </w:t>
            </w:r>
            <w:proofErr w:type="spellStart"/>
            <w:r w:rsidRPr="00FA42EA">
              <w:rPr>
                <w:rFonts w:ascii="Garamond" w:hAnsi="Garamond"/>
                <w:b w:val="0"/>
                <w:sz w:val="22"/>
                <w:szCs w:val="22"/>
                <w:highlight w:val="yellow"/>
                <w:lang w:val="ru-RU"/>
              </w:rPr>
              <w:t>xml</w:t>
            </w:r>
            <w:proofErr w:type="spellEnd"/>
            <w:r w:rsidRPr="00FA42EA">
              <w:rPr>
                <w:rFonts w:ascii="Garamond" w:hAnsi="Garamond"/>
                <w:b w:val="0"/>
                <w:sz w:val="22"/>
                <w:szCs w:val="22"/>
                <w:highlight w:val="yellow"/>
                <w:lang w:val="ru-RU"/>
              </w:rPr>
              <w:t xml:space="preserve"> за ЭП.</w:t>
            </w:r>
          </w:p>
        </w:tc>
      </w:tr>
      <w:tr w:rsidR="00BB4985" w:rsidRPr="00FA42EA" w:rsidTr="00D339D3">
        <w:trPr>
          <w:trHeight w:val="435"/>
        </w:trPr>
        <w:tc>
          <w:tcPr>
            <w:tcW w:w="1008" w:type="dxa"/>
            <w:vAlign w:val="center"/>
          </w:tcPr>
          <w:p w:rsidR="00BB4985" w:rsidRPr="00FA42EA" w:rsidRDefault="00AA7BF3" w:rsidP="00D339D3">
            <w:pPr>
              <w:spacing w:before="120" w:after="120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A42EA">
              <w:rPr>
                <w:rFonts w:ascii="Garamond" w:hAnsi="Garamond"/>
                <w:b/>
                <w:bCs/>
                <w:sz w:val="22"/>
                <w:szCs w:val="22"/>
              </w:rPr>
              <w:lastRenderedPageBreak/>
              <w:t>Приложение 7, п. 1</w:t>
            </w:r>
          </w:p>
        </w:tc>
        <w:tc>
          <w:tcPr>
            <w:tcW w:w="5791" w:type="dxa"/>
          </w:tcPr>
          <w:p w:rsidR="00BB4985" w:rsidRPr="00FA42EA" w:rsidRDefault="00AA7BF3" w:rsidP="00D339D3">
            <w:pPr>
              <w:autoSpaceDE w:val="0"/>
              <w:autoSpaceDN w:val="0"/>
              <w:spacing w:before="120" w:after="120"/>
              <w:ind w:firstLine="567"/>
              <w:rPr>
                <w:rFonts w:ascii="Garamond" w:hAnsi="Garamond"/>
                <w:sz w:val="22"/>
                <w:szCs w:val="22"/>
              </w:rPr>
            </w:pPr>
            <w:r w:rsidRPr="00FA42EA">
              <w:rPr>
                <w:rFonts w:ascii="Garamond" w:hAnsi="Garamond"/>
                <w:sz w:val="22"/>
                <w:szCs w:val="22"/>
              </w:rPr>
              <w:t>…</w:t>
            </w:r>
          </w:p>
          <w:p w:rsidR="00BB4985" w:rsidRPr="00FA42EA" w:rsidRDefault="00AA7BF3" w:rsidP="00D339D3">
            <w:pPr>
              <w:autoSpaceDE w:val="0"/>
              <w:autoSpaceDN w:val="0"/>
              <w:spacing w:before="120" w:after="120"/>
              <w:ind w:firstLine="567"/>
              <w:rPr>
                <w:rFonts w:ascii="Garamond" w:hAnsi="Garamond"/>
                <w:sz w:val="22"/>
                <w:szCs w:val="22"/>
              </w:rPr>
            </w:pPr>
            <w:r w:rsidRPr="00FA42EA">
              <w:rPr>
                <w:rFonts w:ascii="Garamond" w:hAnsi="Garamond"/>
                <w:sz w:val="22"/>
                <w:szCs w:val="22"/>
              </w:rPr>
              <w:t xml:space="preserve">ЦФР в течение 2 (двух) рабочих дней после наступления каждой даты платежа (14, 21, 25, 28-е число месяца) формирует уведомления покупателям по формам согласно приложениям 1а и 1б к настоящему Положению и размещает их для покупателей в разделе с ограниченным в соответствии с Правилами ЭДО СЭД КО доступом на официальном интернет-сайте КО. </w:t>
            </w:r>
          </w:p>
          <w:p w:rsidR="00BB4985" w:rsidRPr="00FA42EA" w:rsidRDefault="00AA7BF3" w:rsidP="00D339D3">
            <w:pPr>
              <w:autoSpaceDE w:val="0"/>
              <w:autoSpaceDN w:val="0"/>
              <w:spacing w:before="120" w:after="120"/>
              <w:ind w:firstLine="567"/>
              <w:rPr>
                <w:rFonts w:ascii="Garamond" w:hAnsi="Garamond"/>
                <w:sz w:val="22"/>
                <w:szCs w:val="22"/>
              </w:rPr>
            </w:pPr>
            <w:r w:rsidRPr="00FA42EA">
              <w:rPr>
                <w:rFonts w:ascii="Garamond" w:hAnsi="Garamond"/>
                <w:sz w:val="22"/>
                <w:szCs w:val="22"/>
              </w:rPr>
              <w:t>…</w:t>
            </w:r>
          </w:p>
        </w:tc>
        <w:tc>
          <w:tcPr>
            <w:tcW w:w="8222" w:type="dxa"/>
          </w:tcPr>
          <w:p w:rsidR="00BB4985" w:rsidRPr="00FA42EA" w:rsidRDefault="00AA7BF3" w:rsidP="00D339D3">
            <w:pPr>
              <w:autoSpaceDE w:val="0"/>
              <w:autoSpaceDN w:val="0"/>
              <w:spacing w:before="120" w:after="120"/>
              <w:ind w:firstLine="567"/>
              <w:rPr>
                <w:rFonts w:ascii="Garamond" w:hAnsi="Garamond"/>
                <w:sz w:val="22"/>
                <w:szCs w:val="22"/>
              </w:rPr>
            </w:pPr>
            <w:r w:rsidRPr="00FA42EA">
              <w:rPr>
                <w:rFonts w:ascii="Garamond" w:hAnsi="Garamond"/>
                <w:sz w:val="22"/>
                <w:szCs w:val="22"/>
              </w:rPr>
              <w:t>…</w:t>
            </w:r>
          </w:p>
          <w:p w:rsidR="00BB4985" w:rsidRPr="00FA42EA" w:rsidRDefault="00AA7BF3" w:rsidP="00D339D3">
            <w:pPr>
              <w:autoSpaceDE w:val="0"/>
              <w:autoSpaceDN w:val="0"/>
              <w:spacing w:before="120" w:after="120"/>
              <w:ind w:firstLine="567"/>
              <w:rPr>
                <w:rFonts w:ascii="Garamond" w:hAnsi="Garamond"/>
                <w:sz w:val="22"/>
                <w:szCs w:val="22"/>
              </w:rPr>
            </w:pPr>
            <w:r w:rsidRPr="00FA42EA">
              <w:rPr>
                <w:rFonts w:ascii="Garamond" w:hAnsi="Garamond"/>
                <w:sz w:val="22"/>
                <w:szCs w:val="22"/>
              </w:rPr>
              <w:t xml:space="preserve">ЦФР в течение 2 (двух) рабочих дней после наступления каждой даты платежа (14, 21, 25, 28-е число месяца) формирует уведомления покупателям по формам согласно приложениям 1а и 1б к настоящему Положению и размещает их для покупателей в разделе с ограниченным в соответствии с Правилами ЭДО СЭД КО доступом на официальном интернет-сайте КО. </w:t>
            </w:r>
          </w:p>
          <w:p w:rsidR="00BB4985" w:rsidRPr="00FA42EA" w:rsidRDefault="00AA7BF3" w:rsidP="00D339D3">
            <w:pPr>
              <w:autoSpaceDE w:val="0"/>
              <w:autoSpaceDN w:val="0"/>
              <w:spacing w:before="120" w:after="120"/>
              <w:ind w:firstLine="567"/>
              <w:rPr>
                <w:rFonts w:ascii="Garamond" w:hAnsi="Garamond"/>
                <w:sz w:val="22"/>
                <w:szCs w:val="22"/>
              </w:rPr>
            </w:pPr>
            <w:r w:rsidRPr="00FA42EA">
              <w:rPr>
                <w:rFonts w:ascii="Garamond" w:hAnsi="Garamond"/>
                <w:sz w:val="22"/>
                <w:szCs w:val="22"/>
                <w:highlight w:val="yellow"/>
              </w:rPr>
              <w:t xml:space="preserve">В отношении дат платежей, приходящихся на период </w:t>
            </w:r>
            <w:r w:rsidRPr="00FA42EA">
              <w:rPr>
                <w:rFonts w:ascii="Garamond" w:hAnsi="Garamond"/>
                <w:sz w:val="22"/>
                <w:szCs w:val="22"/>
                <w:highlight w:val="yellow"/>
              </w:rPr>
              <w:br/>
              <w:t>с 14.02.2019 по 21.02.2019 (включительно)</w:t>
            </w:r>
            <w:r w:rsidR="001030F5"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  <w:r w:rsidRPr="00FA42EA">
              <w:rPr>
                <w:rFonts w:ascii="Garamond" w:hAnsi="Garamond"/>
                <w:sz w:val="22"/>
                <w:szCs w:val="22"/>
                <w:highlight w:val="yellow"/>
              </w:rPr>
              <w:t xml:space="preserve"> ЦФР не формирует и не публикует уведомления покупателям, указанным в перечне участников, направленном Советом рынка в ЦФР в соответствии с пунктом 12.5.4 </w:t>
            </w:r>
            <w:r w:rsidRPr="00D339D3">
              <w:rPr>
                <w:rFonts w:ascii="Garamond" w:hAnsi="Garamond"/>
                <w:i/>
                <w:sz w:val="22"/>
                <w:szCs w:val="22"/>
                <w:highlight w:val="yellow"/>
              </w:rPr>
              <w:t>Регламента финансовых расчетов</w:t>
            </w:r>
            <w:r w:rsidR="00D339D3">
              <w:rPr>
                <w:rFonts w:ascii="Garamond" w:hAnsi="Garamond"/>
                <w:i/>
                <w:sz w:val="22"/>
                <w:szCs w:val="22"/>
                <w:highlight w:val="yellow"/>
              </w:rPr>
              <w:t xml:space="preserve"> на оптовом рынке электроэнергии</w:t>
            </w:r>
            <w:r w:rsidRPr="00FA42EA">
              <w:rPr>
                <w:rFonts w:ascii="Garamond" w:hAnsi="Garamond"/>
                <w:sz w:val="22"/>
                <w:szCs w:val="22"/>
                <w:highlight w:val="yellow"/>
              </w:rPr>
              <w:t xml:space="preserve"> (Приложение № 16 к </w:t>
            </w:r>
            <w:r w:rsidRPr="00D339D3">
              <w:rPr>
                <w:rFonts w:ascii="Garamond" w:hAnsi="Garamond"/>
                <w:i/>
                <w:sz w:val="22"/>
                <w:szCs w:val="22"/>
                <w:highlight w:val="yellow"/>
              </w:rPr>
              <w:t>Договору о присоединении к торговой системе оптового рынка</w:t>
            </w:r>
            <w:r w:rsidRPr="00FA42EA">
              <w:rPr>
                <w:rFonts w:ascii="Garamond" w:hAnsi="Garamond"/>
                <w:sz w:val="22"/>
                <w:szCs w:val="22"/>
                <w:highlight w:val="yellow"/>
              </w:rPr>
              <w:t>),</w:t>
            </w:r>
            <w:r w:rsidR="00D339D3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FA42EA">
              <w:rPr>
                <w:rFonts w:ascii="Garamond" w:hAnsi="Garamond"/>
                <w:sz w:val="22"/>
                <w:szCs w:val="22"/>
                <w:highlight w:val="yellow"/>
              </w:rPr>
              <w:t>по формам согласно приложениям 1а и 1б к настоящему Положению.</w:t>
            </w:r>
          </w:p>
          <w:p w:rsidR="00BB4985" w:rsidRPr="00FA42EA" w:rsidRDefault="00AA7BF3" w:rsidP="00D339D3">
            <w:pPr>
              <w:autoSpaceDE w:val="0"/>
              <w:autoSpaceDN w:val="0"/>
              <w:spacing w:before="120" w:after="120"/>
              <w:ind w:firstLine="567"/>
              <w:rPr>
                <w:rFonts w:ascii="Garamond" w:hAnsi="Garamond"/>
                <w:sz w:val="22"/>
                <w:szCs w:val="22"/>
              </w:rPr>
            </w:pPr>
            <w:r w:rsidRPr="00FA42EA">
              <w:rPr>
                <w:rFonts w:ascii="Garamond" w:hAnsi="Garamond"/>
                <w:sz w:val="22"/>
                <w:szCs w:val="22"/>
              </w:rPr>
              <w:t>…</w:t>
            </w:r>
          </w:p>
        </w:tc>
      </w:tr>
      <w:tr w:rsidR="00BB4985" w:rsidRPr="00FA42EA" w:rsidTr="00D339D3">
        <w:trPr>
          <w:trHeight w:val="435"/>
        </w:trPr>
        <w:tc>
          <w:tcPr>
            <w:tcW w:w="1008" w:type="dxa"/>
            <w:vAlign w:val="center"/>
          </w:tcPr>
          <w:p w:rsidR="00BB4985" w:rsidRPr="00FA42EA" w:rsidRDefault="00AA7BF3" w:rsidP="00D339D3">
            <w:pPr>
              <w:spacing w:before="120" w:after="120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A42EA">
              <w:rPr>
                <w:rFonts w:ascii="Garamond" w:hAnsi="Garamond"/>
                <w:b/>
                <w:bCs/>
                <w:sz w:val="22"/>
                <w:szCs w:val="22"/>
              </w:rPr>
              <w:t>Приложение 7,</w:t>
            </w:r>
          </w:p>
          <w:p w:rsidR="00BB4985" w:rsidRPr="00FA42EA" w:rsidRDefault="00AA7BF3" w:rsidP="00D339D3">
            <w:pPr>
              <w:spacing w:before="120" w:after="120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A42EA">
              <w:rPr>
                <w:rFonts w:ascii="Garamond" w:hAnsi="Garamond"/>
                <w:b/>
                <w:bCs/>
                <w:sz w:val="22"/>
                <w:szCs w:val="22"/>
              </w:rPr>
              <w:t>п. 2</w:t>
            </w:r>
          </w:p>
        </w:tc>
        <w:tc>
          <w:tcPr>
            <w:tcW w:w="5791" w:type="dxa"/>
          </w:tcPr>
          <w:p w:rsidR="001030F5" w:rsidRDefault="001030F5" w:rsidP="00D339D3">
            <w:pPr>
              <w:autoSpaceDE w:val="0"/>
              <w:autoSpaceDN w:val="0"/>
              <w:spacing w:before="120" w:after="120"/>
              <w:ind w:firstLine="567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…</w:t>
            </w:r>
          </w:p>
          <w:p w:rsidR="00BB4985" w:rsidRPr="00FA42EA" w:rsidRDefault="00AA7BF3" w:rsidP="00D339D3">
            <w:pPr>
              <w:autoSpaceDE w:val="0"/>
              <w:autoSpaceDN w:val="0"/>
              <w:spacing w:before="120" w:after="120"/>
              <w:ind w:firstLine="567"/>
              <w:rPr>
                <w:rFonts w:ascii="Garamond" w:hAnsi="Garamond"/>
                <w:sz w:val="22"/>
                <w:szCs w:val="22"/>
              </w:rPr>
            </w:pPr>
            <w:r w:rsidRPr="00FA42EA">
              <w:rPr>
                <w:rFonts w:ascii="Garamond" w:hAnsi="Garamond"/>
                <w:sz w:val="22"/>
                <w:szCs w:val="22"/>
              </w:rPr>
              <w:t xml:space="preserve">Покупатель обязан предоставить финансовые гарантии на месяц </w:t>
            </w:r>
            <w:r w:rsidRPr="00FA42EA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FA42EA">
              <w:rPr>
                <w:rFonts w:ascii="Garamond" w:hAnsi="Garamond"/>
                <w:sz w:val="22"/>
                <w:szCs w:val="22"/>
              </w:rPr>
              <w:t xml:space="preserve">, в случае если в отношении дат платежей на оптовом рынке, относящихся к периоду с 25-го числа месяца </w:t>
            </w:r>
            <w:r w:rsidRPr="00FA42EA">
              <w:rPr>
                <w:rFonts w:ascii="Garamond" w:hAnsi="Garamond"/>
                <w:i/>
                <w:iCs/>
                <w:sz w:val="22"/>
                <w:szCs w:val="22"/>
              </w:rPr>
              <w:t>m</w:t>
            </w:r>
            <w:r w:rsidRPr="00FA42EA">
              <w:rPr>
                <w:rFonts w:ascii="Garamond" w:hAnsi="Garamond"/>
                <w:sz w:val="22"/>
                <w:szCs w:val="22"/>
              </w:rPr>
              <w:t xml:space="preserve">–5 по 21-е число месяца </w:t>
            </w:r>
            <w:r w:rsidRPr="00FA42EA">
              <w:rPr>
                <w:rFonts w:ascii="Garamond" w:hAnsi="Garamond"/>
                <w:i/>
                <w:iCs/>
                <w:sz w:val="22"/>
                <w:szCs w:val="22"/>
              </w:rPr>
              <w:t>m</w:t>
            </w:r>
            <w:r w:rsidRPr="00FA42EA">
              <w:rPr>
                <w:rFonts w:ascii="Garamond" w:hAnsi="Garamond"/>
                <w:sz w:val="22"/>
                <w:szCs w:val="22"/>
              </w:rPr>
              <w:t>–2 (включительно), им допущено (-ы) нарушение (-я) сроков оплаты обязательств на оптовом рынке, за исключением нарушений сроков исполнения обязательств:</w:t>
            </w:r>
          </w:p>
          <w:p w:rsidR="00BB4985" w:rsidRPr="00FA42EA" w:rsidRDefault="00AA7BF3" w:rsidP="00D339D3">
            <w:pPr>
              <w:widowControl/>
              <w:numPr>
                <w:ilvl w:val="0"/>
                <w:numId w:val="4"/>
              </w:numPr>
              <w:autoSpaceDE w:val="0"/>
              <w:autoSpaceDN w:val="0"/>
              <w:spacing w:before="120" w:after="120"/>
              <w:ind w:left="0" w:firstLine="565"/>
              <w:textAlignment w:val="auto"/>
              <w:rPr>
                <w:rFonts w:ascii="Garamond" w:hAnsi="Garamond"/>
                <w:sz w:val="22"/>
                <w:szCs w:val="22"/>
              </w:rPr>
            </w:pPr>
            <w:r w:rsidRPr="00FA42EA">
              <w:rPr>
                <w:rFonts w:ascii="Garamond" w:hAnsi="Garamond"/>
                <w:sz w:val="22"/>
                <w:szCs w:val="22"/>
              </w:rPr>
              <w:lastRenderedPageBreak/>
              <w:t xml:space="preserve"> в одну, несколько или все даты платежей на величину не более чем 5</w:t>
            </w:r>
            <w:r w:rsidRPr="00FA42EA">
              <w:rPr>
                <w:rFonts w:ascii="Garamond" w:hAnsi="Garamond"/>
                <w:sz w:val="22"/>
                <w:szCs w:val="22"/>
                <w:lang w:val="en-US"/>
              </w:rPr>
              <w:t> </w:t>
            </w:r>
            <w:r w:rsidRPr="00FA42EA">
              <w:rPr>
                <w:rFonts w:ascii="Garamond" w:hAnsi="Garamond"/>
                <w:sz w:val="22"/>
                <w:szCs w:val="22"/>
              </w:rPr>
              <w:t>% от общей суммы обязательств, подлежавших оплате в соответствующую дату платежа, но не более чем на 3 (три) дня, следующих за соответствующей датой платежа, в которые ЦФР проводились торговые сессии с уполномоченной кредитной организацией; и (или)</w:t>
            </w:r>
          </w:p>
          <w:p w:rsidR="00BB4985" w:rsidRPr="00D339D3" w:rsidRDefault="00AA7BF3" w:rsidP="00D339D3">
            <w:pPr>
              <w:widowControl/>
              <w:numPr>
                <w:ilvl w:val="0"/>
                <w:numId w:val="4"/>
              </w:numPr>
              <w:autoSpaceDE w:val="0"/>
              <w:autoSpaceDN w:val="0"/>
              <w:spacing w:before="120" w:after="120"/>
              <w:ind w:left="0" w:firstLine="565"/>
              <w:textAlignment w:val="auto"/>
              <w:rPr>
                <w:rFonts w:ascii="Garamond" w:hAnsi="Garamond"/>
                <w:sz w:val="22"/>
                <w:szCs w:val="22"/>
              </w:rPr>
            </w:pPr>
            <w:r w:rsidRPr="00FA42EA">
              <w:rPr>
                <w:rFonts w:ascii="Garamond" w:hAnsi="Garamond"/>
                <w:sz w:val="22"/>
                <w:szCs w:val="22"/>
              </w:rPr>
              <w:t xml:space="preserve"> однократно на величину более чем 5</w:t>
            </w:r>
            <w:r w:rsidRPr="00FA42EA">
              <w:rPr>
                <w:rFonts w:ascii="Garamond" w:hAnsi="Garamond"/>
                <w:sz w:val="22"/>
                <w:szCs w:val="22"/>
                <w:lang w:val="en-US"/>
              </w:rPr>
              <w:t> </w:t>
            </w:r>
            <w:r w:rsidRPr="00FA42EA">
              <w:rPr>
                <w:rFonts w:ascii="Garamond" w:hAnsi="Garamond"/>
                <w:sz w:val="22"/>
                <w:szCs w:val="22"/>
              </w:rPr>
              <w:t>% от общей суммы обязательств, подлежащих оплате в соответствующую дату платежа, но не более чем на 3 (три) дня, следующих за соответствующей датой платежа, в которые ЦФР проводились торговые сессии с уполномоченной кредитной организацией.</w:t>
            </w:r>
          </w:p>
        </w:tc>
        <w:tc>
          <w:tcPr>
            <w:tcW w:w="8222" w:type="dxa"/>
          </w:tcPr>
          <w:p w:rsidR="001030F5" w:rsidRDefault="001030F5" w:rsidP="00D339D3">
            <w:pPr>
              <w:autoSpaceDE w:val="0"/>
              <w:autoSpaceDN w:val="0"/>
              <w:spacing w:before="120" w:after="120"/>
              <w:ind w:firstLine="567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lastRenderedPageBreak/>
              <w:t>…</w:t>
            </w:r>
          </w:p>
          <w:p w:rsidR="00BB4985" w:rsidRPr="00FA42EA" w:rsidRDefault="00AA7BF3" w:rsidP="00D339D3">
            <w:pPr>
              <w:autoSpaceDE w:val="0"/>
              <w:autoSpaceDN w:val="0"/>
              <w:spacing w:before="120" w:after="120"/>
              <w:ind w:firstLine="567"/>
              <w:rPr>
                <w:rFonts w:ascii="Garamond" w:hAnsi="Garamond"/>
                <w:sz w:val="22"/>
                <w:szCs w:val="22"/>
              </w:rPr>
            </w:pPr>
            <w:r w:rsidRPr="00FA42EA">
              <w:rPr>
                <w:rFonts w:ascii="Garamond" w:hAnsi="Garamond"/>
                <w:sz w:val="22"/>
                <w:szCs w:val="22"/>
              </w:rPr>
              <w:t xml:space="preserve">Покупатель обязан предоставить финансовые гарантии </w:t>
            </w:r>
            <w:r w:rsidRPr="00FA42EA">
              <w:rPr>
                <w:rFonts w:ascii="Garamond" w:hAnsi="Garamond"/>
                <w:sz w:val="22"/>
                <w:szCs w:val="22"/>
              </w:rPr>
              <w:br/>
              <w:t xml:space="preserve">на месяц </w:t>
            </w:r>
            <w:r w:rsidRPr="00FA42EA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FA42EA">
              <w:rPr>
                <w:rFonts w:ascii="Garamond" w:hAnsi="Garamond"/>
                <w:sz w:val="22"/>
                <w:szCs w:val="22"/>
              </w:rPr>
              <w:t xml:space="preserve">, в случае если в отношении дат платежей на оптовом рынке, относящихся к периоду с 25-го числа месяца </w:t>
            </w:r>
            <w:r w:rsidRPr="00FA42EA">
              <w:rPr>
                <w:rFonts w:ascii="Garamond" w:hAnsi="Garamond"/>
                <w:i/>
                <w:iCs/>
                <w:sz w:val="22"/>
                <w:szCs w:val="22"/>
              </w:rPr>
              <w:t>m</w:t>
            </w:r>
            <w:r w:rsidRPr="00FA42EA">
              <w:rPr>
                <w:rFonts w:ascii="Garamond" w:hAnsi="Garamond"/>
                <w:sz w:val="22"/>
                <w:szCs w:val="22"/>
              </w:rPr>
              <w:t xml:space="preserve">–5 по 21-е число месяца </w:t>
            </w:r>
            <w:r w:rsidRPr="00FA42EA">
              <w:rPr>
                <w:rFonts w:ascii="Garamond" w:hAnsi="Garamond"/>
                <w:i/>
                <w:iCs/>
                <w:sz w:val="22"/>
                <w:szCs w:val="22"/>
              </w:rPr>
              <w:t>m</w:t>
            </w:r>
            <w:r w:rsidRPr="00FA42EA">
              <w:rPr>
                <w:rFonts w:ascii="Garamond" w:hAnsi="Garamond"/>
                <w:sz w:val="22"/>
                <w:szCs w:val="22"/>
              </w:rPr>
              <w:t xml:space="preserve">–2 (включительно) </w:t>
            </w:r>
            <w:r w:rsidRPr="001030F5">
              <w:rPr>
                <w:rFonts w:ascii="Garamond" w:hAnsi="Garamond"/>
                <w:sz w:val="22"/>
                <w:szCs w:val="22"/>
                <w:highlight w:val="yellow"/>
              </w:rPr>
              <w:t>(за исключением дат платежей, приходящихся на период с 14.01.2019 по 21.02.2019, для покупателей, указанных в перечне участников, направленн</w:t>
            </w:r>
            <w:r w:rsidR="001030F5">
              <w:rPr>
                <w:rFonts w:ascii="Garamond" w:hAnsi="Garamond"/>
                <w:sz w:val="22"/>
                <w:szCs w:val="22"/>
                <w:highlight w:val="yellow"/>
              </w:rPr>
              <w:t>о</w:t>
            </w:r>
            <w:r w:rsidRPr="001030F5">
              <w:rPr>
                <w:rFonts w:ascii="Garamond" w:hAnsi="Garamond"/>
                <w:sz w:val="22"/>
                <w:szCs w:val="22"/>
                <w:highlight w:val="yellow"/>
              </w:rPr>
              <w:t xml:space="preserve">м Советом рынка в ЦФР </w:t>
            </w:r>
            <w:r w:rsidRPr="00FA42EA">
              <w:rPr>
                <w:rFonts w:ascii="Garamond" w:hAnsi="Garamond"/>
                <w:sz w:val="22"/>
                <w:szCs w:val="22"/>
                <w:highlight w:val="yellow"/>
              </w:rPr>
              <w:t xml:space="preserve">в соответствии с пунктом 12.5.4 </w:t>
            </w:r>
            <w:r w:rsidRPr="00D339D3">
              <w:rPr>
                <w:rFonts w:ascii="Garamond" w:hAnsi="Garamond"/>
                <w:i/>
                <w:sz w:val="22"/>
                <w:szCs w:val="22"/>
                <w:highlight w:val="yellow"/>
              </w:rPr>
              <w:t>Регламента финансовых расчетов</w:t>
            </w:r>
            <w:r w:rsidR="00D339D3">
              <w:rPr>
                <w:rFonts w:ascii="Garamond" w:hAnsi="Garamond"/>
                <w:i/>
                <w:sz w:val="22"/>
                <w:szCs w:val="22"/>
                <w:highlight w:val="yellow"/>
              </w:rPr>
              <w:t xml:space="preserve"> на оптовом рынке электроэнергии</w:t>
            </w:r>
            <w:r w:rsidRPr="00FA42EA">
              <w:rPr>
                <w:rFonts w:ascii="Garamond" w:hAnsi="Garamond"/>
                <w:sz w:val="22"/>
                <w:szCs w:val="22"/>
                <w:highlight w:val="yellow"/>
              </w:rPr>
              <w:t xml:space="preserve"> (Приложение № 16 к </w:t>
            </w:r>
            <w:r w:rsidRPr="00D339D3">
              <w:rPr>
                <w:rFonts w:ascii="Garamond" w:hAnsi="Garamond"/>
                <w:i/>
                <w:sz w:val="22"/>
                <w:szCs w:val="22"/>
                <w:highlight w:val="yellow"/>
              </w:rPr>
              <w:t>Договору о присоединении к торговой системе оптового рынка</w:t>
            </w:r>
            <w:r w:rsidRPr="001030F5">
              <w:rPr>
                <w:rFonts w:ascii="Garamond" w:hAnsi="Garamond"/>
                <w:sz w:val="22"/>
                <w:szCs w:val="22"/>
                <w:highlight w:val="yellow"/>
              </w:rPr>
              <w:t>)</w:t>
            </w:r>
            <w:r w:rsidR="001030F5" w:rsidRPr="001030F5">
              <w:rPr>
                <w:rFonts w:ascii="Garamond" w:hAnsi="Garamond"/>
                <w:sz w:val="22"/>
                <w:szCs w:val="22"/>
                <w:highlight w:val="yellow"/>
              </w:rPr>
              <w:t>)</w:t>
            </w:r>
            <w:r w:rsidRPr="00FA42EA">
              <w:rPr>
                <w:rFonts w:ascii="Garamond" w:hAnsi="Garamond"/>
                <w:sz w:val="22"/>
                <w:szCs w:val="22"/>
              </w:rPr>
              <w:t xml:space="preserve">, им допущено (-ы) нарушение (-я) сроков оплаты обязательств на оптовом рынке, </w:t>
            </w:r>
            <w:r w:rsidRPr="00FA42EA">
              <w:rPr>
                <w:rFonts w:ascii="Garamond" w:hAnsi="Garamond"/>
                <w:sz w:val="22"/>
                <w:szCs w:val="22"/>
              </w:rPr>
              <w:lastRenderedPageBreak/>
              <w:t>за исключением нарушений сроков исполнения обязательств:</w:t>
            </w:r>
          </w:p>
          <w:p w:rsidR="00BB4985" w:rsidRPr="00FA42EA" w:rsidRDefault="00AA7BF3" w:rsidP="00D339D3">
            <w:pPr>
              <w:widowControl/>
              <w:numPr>
                <w:ilvl w:val="0"/>
                <w:numId w:val="4"/>
              </w:numPr>
              <w:autoSpaceDE w:val="0"/>
              <w:autoSpaceDN w:val="0"/>
              <w:spacing w:before="120" w:after="120"/>
              <w:ind w:left="0" w:firstLine="565"/>
              <w:textAlignment w:val="auto"/>
              <w:rPr>
                <w:rFonts w:ascii="Garamond" w:hAnsi="Garamond"/>
                <w:sz w:val="22"/>
                <w:szCs w:val="22"/>
              </w:rPr>
            </w:pPr>
            <w:r w:rsidRPr="00FA42EA">
              <w:rPr>
                <w:rFonts w:ascii="Garamond" w:hAnsi="Garamond"/>
                <w:sz w:val="22"/>
                <w:szCs w:val="22"/>
              </w:rPr>
              <w:t xml:space="preserve"> в одну, несколько или все даты платежей на величину </w:t>
            </w:r>
            <w:r w:rsidRPr="00FA42EA">
              <w:rPr>
                <w:rFonts w:ascii="Garamond" w:hAnsi="Garamond"/>
                <w:sz w:val="22"/>
                <w:szCs w:val="22"/>
              </w:rPr>
              <w:br/>
              <w:t>не более чем 5</w:t>
            </w:r>
            <w:r w:rsidRPr="00FA42EA">
              <w:rPr>
                <w:rFonts w:ascii="Garamond" w:hAnsi="Garamond"/>
                <w:sz w:val="22"/>
                <w:szCs w:val="22"/>
                <w:lang w:val="en-US"/>
              </w:rPr>
              <w:t> </w:t>
            </w:r>
            <w:r w:rsidRPr="00FA42EA">
              <w:rPr>
                <w:rFonts w:ascii="Garamond" w:hAnsi="Garamond"/>
                <w:sz w:val="22"/>
                <w:szCs w:val="22"/>
              </w:rPr>
              <w:t>% от общей суммы обязательств, подлежавших оплате в соответствующую дату платежа, но не более чем на 3 (три) дня, следующих за соответствующей датой платежа, в которые ЦФР проводились торговые сессии с уполномоченной кредитной организацией; и (или)</w:t>
            </w:r>
          </w:p>
          <w:p w:rsidR="00BB4985" w:rsidRPr="00FA42EA" w:rsidRDefault="00AA7BF3" w:rsidP="00D339D3">
            <w:pPr>
              <w:widowControl/>
              <w:numPr>
                <w:ilvl w:val="0"/>
                <w:numId w:val="4"/>
              </w:numPr>
              <w:autoSpaceDE w:val="0"/>
              <w:autoSpaceDN w:val="0"/>
              <w:spacing w:before="120" w:after="120"/>
              <w:ind w:left="0" w:firstLine="565"/>
              <w:textAlignment w:val="auto"/>
              <w:rPr>
                <w:rFonts w:ascii="Garamond" w:hAnsi="Garamond"/>
                <w:sz w:val="22"/>
                <w:szCs w:val="22"/>
              </w:rPr>
            </w:pPr>
            <w:r w:rsidRPr="00FA42EA">
              <w:rPr>
                <w:rFonts w:ascii="Garamond" w:hAnsi="Garamond"/>
                <w:sz w:val="22"/>
                <w:szCs w:val="22"/>
              </w:rPr>
              <w:t xml:space="preserve"> однократно на величину более чем 5</w:t>
            </w:r>
            <w:r w:rsidRPr="00FA42EA">
              <w:rPr>
                <w:rFonts w:ascii="Garamond" w:hAnsi="Garamond"/>
                <w:sz w:val="22"/>
                <w:szCs w:val="22"/>
                <w:lang w:val="en-US"/>
              </w:rPr>
              <w:t> </w:t>
            </w:r>
            <w:r w:rsidRPr="00FA42EA">
              <w:rPr>
                <w:rFonts w:ascii="Garamond" w:hAnsi="Garamond"/>
                <w:sz w:val="22"/>
                <w:szCs w:val="22"/>
              </w:rPr>
              <w:t>% от общей суммы обязательств, подлежащих оплате в соответствующую дату платежа, но не более чем на 3 (три) дня, следующих за соответствующей датой платежа, в которые ЦФР проводились торговые сессии</w:t>
            </w:r>
            <w:r w:rsidR="00FA42EA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FA42EA">
              <w:rPr>
                <w:rFonts w:ascii="Garamond" w:hAnsi="Garamond"/>
                <w:sz w:val="22"/>
                <w:szCs w:val="22"/>
              </w:rPr>
              <w:t>с уполномоченной кредитной организацией.</w:t>
            </w:r>
          </w:p>
        </w:tc>
      </w:tr>
    </w:tbl>
    <w:p w:rsidR="00BB4985" w:rsidRPr="00DD211C" w:rsidRDefault="00BB4985">
      <w:pPr>
        <w:rPr>
          <w:rFonts w:ascii="Garamond" w:hAnsi="Garamond"/>
          <w:b/>
        </w:rPr>
      </w:pPr>
    </w:p>
    <w:p w:rsidR="00BB4985" w:rsidRPr="00DD211C" w:rsidRDefault="00BB4985">
      <w:pPr>
        <w:autoSpaceDE w:val="0"/>
        <w:autoSpaceDN w:val="0"/>
        <w:outlineLvl w:val="0"/>
        <w:rPr>
          <w:rFonts w:ascii="Garamond" w:hAnsi="Garamond"/>
          <w:b/>
          <w:bCs/>
        </w:rPr>
      </w:pPr>
    </w:p>
    <w:p w:rsidR="00BB4985" w:rsidRPr="00DD211C" w:rsidRDefault="00BB4985">
      <w:pPr>
        <w:rPr>
          <w:rFonts w:ascii="Garamond" w:hAnsi="Garamond"/>
          <w:b/>
        </w:rPr>
      </w:pPr>
    </w:p>
    <w:p w:rsidR="00BB4985" w:rsidRPr="00DD211C" w:rsidRDefault="00BB4985">
      <w:pPr>
        <w:rPr>
          <w:rFonts w:ascii="Garamond" w:hAnsi="Garamond"/>
          <w:b/>
        </w:rPr>
      </w:pPr>
    </w:p>
    <w:sectPr w:rsidR="00BB4985" w:rsidRPr="00DD211C">
      <w:footerReference w:type="default" r:id="rId8"/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7BF3" w:rsidRDefault="00AA7BF3">
      <w:r>
        <w:separator/>
      </w:r>
    </w:p>
  </w:endnote>
  <w:endnote w:type="continuationSeparator" w:id="0">
    <w:p w:rsidR="00AA7BF3" w:rsidRDefault="00AA7B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2040726"/>
      <w:docPartObj>
        <w:docPartGallery w:val="Page Numbers (Bottom of Page)"/>
        <w:docPartUnique/>
      </w:docPartObj>
    </w:sdtPr>
    <w:sdtEndPr/>
    <w:sdtContent>
      <w:p w:rsidR="00BB4985" w:rsidRDefault="00AA7BF3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1F7B">
          <w:rPr>
            <w:noProof/>
          </w:rPr>
          <w:t>5</w:t>
        </w:r>
        <w:r>
          <w:fldChar w:fldCharType="end"/>
        </w:r>
      </w:p>
    </w:sdtContent>
  </w:sdt>
  <w:p w:rsidR="00BB4985" w:rsidRDefault="00BB498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7BF3" w:rsidRDefault="00AA7BF3">
      <w:r>
        <w:separator/>
      </w:r>
    </w:p>
  </w:footnote>
  <w:footnote w:type="continuationSeparator" w:id="0">
    <w:p w:rsidR="00AA7BF3" w:rsidRDefault="00AA7B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B"/>
    <w:multiLevelType w:val="multilevel"/>
    <w:tmpl w:val="8422AC64"/>
    <w:lvl w:ilvl="0">
      <w:start w:val="4"/>
      <w:numFmt w:val="none"/>
      <w:pStyle w:val="2"/>
      <w:suff w:val="nothing"/>
      <w:lvlText w:val=""/>
      <w:lvlJc w:val="left"/>
      <w:rPr>
        <w:rFonts w:cs="Times New Roman" w:hint="default"/>
      </w:rPr>
    </w:lvl>
    <w:lvl w:ilvl="1">
      <w:start w:val="6"/>
      <w:numFmt w:val="decimal"/>
      <w:lvlText w:val="%2."/>
      <w:lvlJc w:val="left"/>
      <w:pPr>
        <w:tabs>
          <w:tab w:val="num" w:pos="180"/>
        </w:tabs>
        <w:ind w:left="180"/>
      </w:pPr>
      <w:rPr>
        <w:rFonts w:cs="Times New Roman" w:hint="default"/>
      </w:rPr>
    </w:lvl>
    <w:lvl w:ilvl="2">
      <w:start w:val="4"/>
      <w:numFmt w:val="decimal"/>
      <w:lvlText w:val="4.%3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sz w:val="22"/>
        <w:szCs w:val="22"/>
      </w:rPr>
    </w:lvl>
    <w:lvl w:ilvl="3">
      <w:start w:val="1"/>
      <w:numFmt w:val="decimal"/>
      <w:lvlText w:val="3.2.%4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5">
      <w:start w:val="1"/>
      <w:numFmt w:val="lowerRoman"/>
      <w:lvlText w:val="%6)"/>
      <w:lvlJc w:val="left"/>
      <w:pPr>
        <w:tabs>
          <w:tab w:val="num" w:pos="0"/>
        </w:tabs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rPr>
        <w:rFonts w:cs="Times New Roman" w:hint="default"/>
      </w:rPr>
    </w:lvl>
  </w:abstractNum>
  <w:abstractNum w:abstractNumId="1">
    <w:nsid w:val="1FEC50D2"/>
    <w:multiLevelType w:val="hybridMultilevel"/>
    <w:tmpl w:val="A25C21B0"/>
    <w:lvl w:ilvl="0" w:tplc="56D8ED64">
      <w:start w:val="8"/>
      <w:numFmt w:val="bullet"/>
      <w:lvlText w:val="-"/>
      <w:lvlJc w:val="left"/>
      <w:pPr>
        <w:ind w:left="901" w:hanging="360"/>
      </w:pPr>
      <w:rPr>
        <w:rFonts w:ascii="Garamond" w:eastAsiaTheme="minorHAnsi" w:hAnsi="Garamond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6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1" w:hanging="360"/>
      </w:pPr>
      <w:rPr>
        <w:rFonts w:ascii="Wingdings" w:hAnsi="Wingdings" w:hint="default"/>
      </w:rPr>
    </w:lvl>
  </w:abstractNum>
  <w:abstractNum w:abstractNumId="2">
    <w:nsid w:val="56C91B03"/>
    <w:multiLevelType w:val="hybridMultilevel"/>
    <w:tmpl w:val="DBF62E0E"/>
    <w:lvl w:ilvl="0" w:tplc="FFFFFFFF">
      <w:start w:val="1"/>
      <w:numFmt w:val="bullet"/>
      <w:lvlText w:val="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3">
    <w:nsid w:val="5DC77462"/>
    <w:multiLevelType w:val="hybridMultilevel"/>
    <w:tmpl w:val="38D0DA02"/>
    <w:lvl w:ilvl="0" w:tplc="981E6342">
      <w:start w:val="1"/>
      <w:numFmt w:val="bullet"/>
      <w:lvlText w:val=""/>
      <w:lvlJc w:val="left"/>
      <w:pPr>
        <w:tabs>
          <w:tab w:val="num" w:pos="1146"/>
        </w:tabs>
        <w:ind w:left="1146" w:hanging="360"/>
      </w:pPr>
      <w:rPr>
        <w:rFonts w:ascii="Wingdings" w:hAnsi="Wingdings" w:hint="default"/>
      </w:rPr>
    </w:lvl>
    <w:lvl w:ilvl="1" w:tplc="04190019">
      <w:start w:val="1"/>
      <w:numFmt w:val="bullet"/>
      <w:pStyle w:val="20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pStyle w:val="6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F">
      <w:start w:val="1"/>
      <w:numFmt w:val="bullet"/>
      <w:pStyle w:val="7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19" w:tentative="1">
      <w:start w:val="1"/>
      <w:numFmt w:val="bullet"/>
      <w:pStyle w:val="8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pStyle w:val="9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4">
    <w:nsid w:val="68235651"/>
    <w:multiLevelType w:val="hybridMultilevel"/>
    <w:tmpl w:val="4E22CB52"/>
    <w:lvl w:ilvl="0" w:tplc="04090001">
      <w:start w:val="1"/>
      <w:numFmt w:val="bullet"/>
      <w:pStyle w:val="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D3266DD"/>
    <w:multiLevelType w:val="hybridMultilevel"/>
    <w:tmpl w:val="E74E2A00"/>
    <w:lvl w:ilvl="0" w:tplc="11B4820E">
      <w:start w:val="10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Garamond" w:eastAsia="Times New Roman" w:hAnsi="Garamond" w:hint="default"/>
      </w:rPr>
    </w:lvl>
    <w:lvl w:ilvl="1" w:tplc="FFFFFFFF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3"/>
  </w:num>
  <w:num w:numId="8">
    <w:abstractNumId w:val="3"/>
  </w:num>
  <w:num w:numId="9">
    <w:abstractNumId w:val="3"/>
  </w:num>
  <w:num w:numId="10">
    <w:abstractNumId w:val="3"/>
  </w:num>
  <w:num w:numId="11">
    <w:abstractNumId w:val="3"/>
  </w:num>
  <w:num w:numId="12">
    <w:abstractNumId w:val="1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985"/>
    <w:rsid w:val="00057663"/>
    <w:rsid w:val="001030F5"/>
    <w:rsid w:val="00177345"/>
    <w:rsid w:val="001B2F9C"/>
    <w:rsid w:val="00246399"/>
    <w:rsid w:val="00471F7B"/>
    <w:rsid w:val="00513168"/>
    <w:rsid w:val="008124DF"/>
    <w:rsid w:val="008607B7"/>
    <w:rsid w:val="00A112B2"/>
    <w:rsid w:val="00AA7BF3"/>
    <w:rsid w:val="00BB4985"/>
    <w:rsid w:val="00BE791B"/>
    <w:rsid w:val="00D339D3"/>
    <w:rsid w:val="00DD211C"/>
    <w:rsid w:val="00EC3991"/>
    <w:rsid w:val="00EF41FE"/>
    <w:rsid w:val="00F870AE"/>
    <w:rsid w:val="00FA4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2D0EFE-2622-4922-918F-7D45C4338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Заголовок параграфа (1.),Section,level2 hdg,111"/>
    <w:basedOn w:val="a0"/>
    <w:next w:val="a0"/>
    <w:link w:val="10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0">
    <w:name w:val="heading 2"/>
    <w:aliases w:val="h2,h21,Заголовок пункта (1.1),5,Reset numbering,222"/>
    <w:basedOn w:val="a0"/>
    <w:next w:val="3"/>
    <w:link w:val="21"/>
    <w:uiPriority w:val="99"/>
    <w:qFormat/>
    <w:pPr>
      <w:keepNext/>
      <w:numPr>
        <w:ilvl w:val="1"/>
        <w:numId w:val="1"/>
      </w:numPr>
      <w:spacing w:before="180" w:after="180"/>
      <w:outlineLvl w:val="1"/>
    </w:pPr>
    <w:rPr>
      <w:b/>
      <w:szCs w:val="20"/>
      <w:lang w:val="en-GB" w:eastAsia="en-US"/>
    </w:rPr>
  </w:style>
  <w:style w:type="paragraph" w:styleId="3">
    <w:name w:val="heading 3"/>
    <w:aliases w:val="H3,Level 1 - 1,Заголовок подпукта (1.1.1),o"/>
    <w:basedOn w:val="a0"/>
    <w:next w:val="a0"/>
    <w:link w:val="30"/>
    <w:uiPriority w:val="99"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aliases w:val="Sub-Minor,Level 2 - a,H4,H41"/>
    <w:basedOn w:val="a0"/>
    <w:next w:val="a0"/>
    <w:link w:val="40"/>
    <w:uiPriority w:val="99"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aliases w:val="h5,h51,H5,H51,h52,test,Block Label,Level 3 - i"/>
    <w:basedOn w:val="a0"/>
    <w:next w:val="a0"/>
    <w:link w:val="50"/>
    <w:uiPriority w:val="99"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aliases w:val="Legal Level 1."/>
    <w:basedOn w:val="a0"/>
    <w:next w:val="5"/>
    <w:link w:val="60"/>
    <w:uiPriority w:val="99"/>
    <w:qFormat/>
    <w:pPr>
      <w:numPr>
        <w:ilvl w:val="5"/>
        <w:numId w:val="1"/>
      </w:numPr>
      <w:tabs>
        <w:tab w:val="num" w:pos="0"/>
        <w:tab w:val="num" w:pos="4320"/>
      </w:tabs>
      <w:spacing w:before="120" w:after="120"/>
      <w:ind w:left="4320" w:hanging="180"/>
      <w:outlineLvl w:val="5"/>
    </w:pPr>
    <w:rPr>
      <w:sz w:val="22"/>
      <w:szCs w:val="20"/>
      <w:lang w:eastAsia="en-US"/>
    </w:rPr>
  </w:style>
  <w:style w:type="paragraph" w:styleId="7">
    <w:name w:val="heading 7"/>
    <w:aliases w:val="Appendix Header,Legal Level 1.1."/>
    <w:basedOn w:val="a0"/>
    <w:next w:val="a0"/>
    <w:link w:val="70"/>
    <w:uiPriority w:val="99"/>
    <w:qFormat/>
    <w:pPr>
      <w:numPr>
        <w:ilvl w:val="6"/>
        <w:numId w:val="1"/>
      </w:numPr>
      <w:tabs>
        <w:tab w:val="num" w:pos="5040"/>
      </w:tabs>
      <w:spacing w:before="180" w:after="240"/>
      <w:ind w:left="5040"/>
      <w:outlineLvl w:val="6"/>
    </w:pPr>
    <w:rPr>
      <w:rFonts w:ascii="Garamond" w:hAnsi="Garamond"/>
      <w:sz w:val="22"/>
      <w:szCs w:val="20"/>
      <w:lang w:val="en-GB" w:eastAsia="en-US"/>
    </w:rPr>
  </w:style>
  <w:style w:type="paragraph" w:styleId="8">
    <w:name w:val="heading 8"/>
    <w:aliases w:val="Legal Level 1.1.1."/>
    <w:basedOn w:val="a0"/>
    <w:next w:val="a0"/>
    <w:link w:val="80"/>
    <w:uiPriority w:val="99"/>
    <w:qFormat/>
    <w:pPr>
      <w:numPr>
        <w:ilvl w:val="7"/>
        <w:numId w:val="1"/>
      </w:numPr>
      <w:tabs>
        <w:tab w:val="num" w:pos="5760"/>
      </w:tabs>
      <w:spacing w:before="240" w:after="60"/>
      <w:ind w:left="5760"/>
      <w:outlineLvl w:val="7"/>
    </w:pPr>
    <w:rPr>
      <w:rFonts w:ascii="Arial" w:hAnsi="Arial"/>
      <w:i/>
      <w:sz w:val="20"/>
      <w:szCs w:val="20"/>
      <w:lang w:val="en-GB" w:eastAsia="en-US"/>
    </w:rPr>
  </w:style>
  <w:style w:type="paragraph" w:styleId="9">
    <w:name w:val="heading 9"/>
    <w:aliases w:val="Legal Level 1.1.1.1."/>
    <w:basedOn w:val="a0"/>
    <w:next w:val="a0"/>
    <w:link w:val="90"/>
    <w:uiPriority w:val="99"/>
    <w:qFormat/>
    <w:pPr>
      <w:numPr>
        <w:ilvl w:val="8"/>
        <w:numId w:val="1"/>
      </w:numPr>
      <w:tabs>
        <w:tab w:val="num" w:pos="6480"/>
      </w:tabs>
      <w:spacing w:before="240" w:after="60"/>
      <w:ind w:left="6480" w:hanging="180"/>
      <w:outlineLvl w:val="8"/>
    </w:pPr>
    <w:rPr>
      <w:rFonts w:ascii="Arial" w:hAnsi="Arial"/>
      <w:i/>
      <w:sz w:val="18"/>
      <w:szCs w:val="20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1">
    <w:name w:val="Заголовок 2 Знак"/>
    <w:aliases w:val="h2 Знак,h21 Знак,Заголовок пункта (1.1) Знак,5 Знак,Reset numbering Знак,222 Знак"/>
    <w:basedOn w:val="a1"/>
    <w:link w:val="20"/>
    <w:uiPriority w:val="99"/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customStyle="1" w:styleId="60">
    <w:name w:val="Заголовок 6 Знак"/>
    <w:aliases w:val="Legal Level 1. Знак"/>
    <w:basedOn w:val="a1"/>
    <w:link w:val="6"/>
    <w:uiPriority w:val="99"/>
    <w:rPr>
      <w:rFonts w:ascii="Times New Roman" w:eastAsia="Times New Roman" w:hAnsi="Times New Roman" w:cs="Times New Roman"/>
      <w:szCs w:val="20"/>
    </w:rPr>
  </w:style>
  <w:style w:type="character" w:customStyle="1" w:styleId="70">
    <w:name w:val="Заголовок 7 Знак"/>
    <w:aliases w:val="Appendix Header Знак,Legal Level 1.1. Знак"/>
    <w:basedOn w:val="a1"/>
    <w:link w:val="7"/>
    <w:uiPriority w:val="99"/>
    <w:rPr>
      <w:rFonts w:ascii="Garamond" w:eastAsia="Times New Roman" w:hAnsi="Garamond" w:cs="Times New Roman"/>
      <w:szCs w:val="20"/>
      <w:lang w:val="en-GB"/>
    </w:rPr>
  </w:style>
  <w:style w:type="character" w:customStyle="1" w:styleId="80">
    <w:name w:val="Заголовок 8 Знак"/>
    <w:aliases w:val="Legal Level 1.1.1. Знак"/>
    <w:basedOn w:val="a1"/>
    <w:link w:val="8"/>
    <w:uiPriority w:val="99"/>
    <w:rPr>
      <w:rFonts w:ascii="Arial" w:eastAsia="Times New Roman" w:hAnsi="Arial" w:cs="Times New Roman"/>
      <w:i/>
      <w:sz w:val="20"/>
      <w:szCs w:val="20"/>
      <w:lang w:val="en-GB"/>
    </w:rPr>
  </w:style>
  <w:style w:type="character" w:customStyle="1" w:styleId="90">
    <w:name w:val="Заголовок 9 Знак"/>
    <w:aliases w:val="Legal Level 1.1.1.1. Знак"/>
    <w:basedOn w:val="a1"/>
    <w:link w:val="9"/>
    <w:uiPriority w:val="99"/>
    <w:rPr>
      <w:rFonts w:ascii="Arial" w:eastAsia="Times New Roman" w:hAnsi="Arial" w:cs="Times New Roman"/>
      <w:i/>
      <w:sz w:val="18"/>
      <w:szCs w:val="20"/>
      <w:lang w:val="en-GB"/>
    </w:rPr>
  </w:style>
  <w:style w:type="character" w:customStyle="1" w:styleId="30">
    <w:name w:val="Заголовок 3 Знак"/>
    <w:aliases w:val="H3 Знак,Level 1 - 1 Знак,Заголовок подпукта (1.1.1) Знак,o Знак"/>
    <w:basedOn w:val="a1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aliases w:val="h5 Знак,h51 Знак,H5 Знак,H51 Знак,h52 Знак,test Знак,Block Label Знак,Level 3 - i Знак"/>
    <w:basedOn w:val="a1"/>
    <w:link w:val="5"/>
    <w:uiPriority w:val="9"/>
    <w:semiHidden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10">
    <w:name w:val="Заголовок 1 Знак"/>
    <w:aliases w:val="Заголовок параграфа (1.) Знак,Section Знак,level2 hdg Знак,111 Знак"/>
    <w:basedOn w:val="a1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  <w:ind w:firstLine="720"/>
      <w:jc w:val="both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6">
    <w:name w:val="header"/>
    <w:basedOn w:val="a0"/>
    <w:link w:val="a7"/>
    <w:uiPriority w:val="99"/>
    <w:unhideWhenUsed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0"/>
    <w:link w:val="a9"/>
    <w:uiPriority w:val="99"/>
    <w:unhideWhenUsed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subclauseindent">
    <w:name w:val="subsubclauseindent"/>
    <w:basedOn w:val="a0"/>
    <w:uiPriority w:val="99"/>
    <w:pPr>
      <w:spacing w:before="120" w:after="120"/>
      <w:ind w:left="2552"/>
    </w:pPr>
    <w:rPr>
      <w:sz w:val="22"/>
      <w:szCs w:val="20"/>
      <w:lang w:val="en-GB" w:eastAsia="en-US"/>
    </w:rPr>
  </w:style>
  <w:style w:type="paragraph" w:styleId="aa">
    <w:name w:val="List Paragraph"/>
    <w:basedOn w:val="a0"/>
    <w:uiPriority w:val="99"/>
    <w:qFormat/>
    <w:pPr>
      <w:ind w:left="720"/>
      <w:contextualSpacing/>
    </w:pPr>
    <w:rPr>
      <w:rFonts w:ascii="Garamond" w:hAnsi="Garamond"/>
      <w:sz w:val="22"/>
    </w:rPr>
  </w:style>
  <w:style w:type="character" w:customStyle="1" w:styleId="40">
    <w:name w:val="Заголовок 4 Знак"/>
    <w:aliases w:val="Sub-Minor Знак,Level 2 - a Знак,H4 Знак,H41 Знак"/>
    <w:basedOn w:val="a1"/>
    <w:link w:val="4"/>
    <w:uiPriority w:val="9"/>
    <w:semiHidden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ru-RU"/>
    </w:rPr>
  </w:style>
  <w:style w:type="paragraph" w:styleId="2">
    <w:name w:val="List Number 2"/>
    <w:basedOn w:val="a0"/>
    <w:pPr>
      <w:keepNext/>
      <w:keepLines/>
      <w:numPr>
        <w:numId w:val="2"/>
      </w:numPr>
      <w:tabs>
        <w:tab w:val="num" w:pos="643"/>
        <w:tab w:val="left" w:pos="1260"/>
      </w:tabs>
      <w:spacing w:before="120"/>
      <w:ind w:left="643" w:hanging="360"/>
    </w:pPr>
    <w:rPr>
      <w:rFonts w:ascii="Garamond" w:hAnsi="Garamond"/>
      <w:sz w:val="22"/>
      <w:szCs w:val="20"/>
      <w:lang w:eastAsia="en-US"/>
    </w:rPr>
  </w:style>
  <w:style w:type="paragraph" w:styleId="ab">
    <w:name w:val="Body Text"/>
    <w:aliases w:val="body text"/>
    <w:basedOn w:val="a0"/>
    <w:link w:val="11"/>
    <w:uiPriority w:val="99"/>
    <w:pPr>
      <w:spacing w:before="120" w:after="120"/>
    </w:pPr>
    <w:rPr>
      <w:sz w:val="22"/>
      <w:szCs w:val="20"/>
      <w:lang w:val="en-GB" w:eastAsia="en-US"/>
    </w:rPr>
  </w:style>
  <w:style w:type="character" w:customStyle="1" w:styleId="ac">
    <w:name w:val="Основной текст Знак"/>
    <w:aliases w:val="body text Знак"/>
    <w:basedOn w:val="a1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Знак1"/>
    <w:aliases w:val="body text Знак1"/>
    <w:link w:val="ab"/>
    <w:rPr>
      <w:rFonts w:ascii="Times New Roman" w:eastAsia="Times New Roman" w:hAnsi="Times New Roman" w:cs="Times New Roman"/>
      <w:szCs w:val="20"/>
      <w:lang w:val="en-GB"/>
    </w:rPr>
  </w:style>
  <w:style w:type="character" w:styleId="ad">
    <w:name w:val="Placeholder Text"/>
    <w:basedOn w:val="a1"/>
    <w:uiPriority w:val="99"/>
    <w:semiHidden/>
    <w:rPr>
      <w:color w:val="808080"/>
    </w:rPr>
  </w:style>
  <w:style w:type="paragraph" w:customStyle="1" w:styleId="subclauseindent">
    <w:name w:val="subclauseindent"/>
    <w:basedOn w:val="a0"/>
    <w:pPr>
      <w:spacing w:before="120" w:after="120"/>
      <w:ind w:left="1701"/>
    </w:pPr>
    <w:rPr>
      <w:sz w:val="22"/>
      <w:szCs w:val="20"/>
      <w:lang w:val="en-GB" w:eastAsia="en-US"/>
    </w:rPr>
  </w:style>
  <w:style w:type="paragraph" w:styleId="22">
    <w:name w:val="Body Text 2"/>
    <w:basedOn w:val="a0"/>
    <w:link w:val="23"/>
    <w:pPr>
      <w:ind w:left="851"/>
    </w:pPr>
    <w:rPr>
      <w:szCs w:val="20"/>
      <w:lang w:val="en-GB" w:eastAsia="en-US"/>
    </w:rPr>
  </w:style>
  <w:style w:type="character" w:customStyle="1" w:styleId="23">
    <w:name w:val="Основной текст 2 Знак"/>
    <w:basedOn w:val="a1"/>
    <w:link w:val="22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ae">
    <w:name w:val="Обычный текст"/>
    <w:basedOn w:val="a0"/>
    <w:uiPriority w:val="99"/>
    <w:pPr>
      <w:ind w:firstLine="425"/>
    </w:pPr>
    <w:rPr>
      <w:rFonts w:eastAsia="Arial Unicode MS"/>
    </w:rPr>
  </w:style>
  <w:style w:type="paragraph" w:styleId="91">
    <w:name w:val="toc 9"/>
    <w:basedOn w:val="a0"/>
    <w:next w:val="a0"/>
    <w:uiPriority w:val="39"/>
    <w:pPr>
      <w:ind w:left="1760"/>
    </w:pPr>
    <w:rPr>
      <w:sz w:val="18"/>
      <w:szCs w:val="20"/>
      <w:lang w:val="en-GB" w:eastAsia="en-US"/>
    </w:rPr>
  </w:style>
  <w:style w:type="character" w:styleId="af">
    <w:name w:val="annotation reference"/>
    <w:basedOn w:val="a1"/>
    <w:uiPriority w:val="99"/>
    <w:semiHidden/>
    <w:unhideWhenUsed/>
    <w:rPr>
      <w:sz w:val="16"/>
      <w:szCs w:val="16"/>
    </w:rPr>
  </w:style>
  <w:style w:type="paragraph" w:styleId="af0">
    <w:name w:val="annotation text"/>
    <w:basedOn w:val="a0"/>
    <w:link w:val="af1"/>
    <w:uiPriority w:val="99"/>
    <w:unhideWhenUsed/>
    <w:rPr>
      <w:sz w:val="20"/>
      <w:szCs w:val="20"/>
    </w:rPr>
  </w:style>
  <w:style w:type="character" w:customStyle="1" w:styleId="af1">
    <w:name w:val="Текст примечания Знак"/>
    <w:basedOn w:val="a1"/>
    <w:link w:val="af0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4">
    <w:name w:val="Revision"/>
    <w:hidden/>
    <w:uiPriority w:val="99"/>
    <w:semiHidden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Bullet"/>
    <w:basedOn w:val="a0"/>
    <w:uiPriority w:val="99"/>
    <w:unhideWhenUsed/>
    <w:pPr>
      <w:numPr>
        <w:numId w:val="3"/>
      </w:numPr>
      <w:tabs>
        <w:tab w:val="num" w:pos="360"/>
      </w:tabs>
      <w:ind w:left="360"/>
      <w:contextualSpacing/>
    </w:pPr>
  </w:style>
  <w:style w:type="paragraph" w:styleId="24">
    <w:name w:val="Body Text Indent 2"/>
    <w:basedOn w:val="a0"/>
    <w:link w:val="25"/>
    <w:uiPriority w:val="99"/>
    <w:semiHidden/>
    <w:unhideWhenUsed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1"/>
    <w:link w:val="24"/>
    <w:uiPriority w:val="99"/>
    <w:semiHidden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Hyperlink"/>
    <w:basedOn w:val="a1"/>
    <w:uiPriority w:val="99"/>
    <w:semiHidden/>
    <w:unhideWhenUsed/>
    <w:rPr>
      <w:color w:val="0563C1"/>
      <w:u w:val="single"/>
    </w:rPr>
  </w:style>
  <w:style w:type="table" w:styleId="af6">
    <w:name w:val="Table Grid"/>
    <w:basedOn w:val="a2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Strong"/>
    <w:qFormat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790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2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CC9B68-068D-4CF5-B58A-73D8CE814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5</Pages>
  <Words>1910</Words>
  <Characters>10893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kolesnik</dc:creator>
  <cp:lastModifiedBy>Ирина Пряхина</cp:lastModifiedBy>
  <cp:revision>6</cp:revision>
  <cp:lastPrinted>2019-01-29T08:59:00Z</cp:lastPrinted>
  <dcterms:created xsi:type="dcterms:W3CDTF">2019-01-28T12:13:00Z</dcterms:created>
  <dcterms:modified xsi:type="dcterms:W3CDTF">2019-01-30T09:49:00Z</dcterms:modified>
</cp:coreProperties>
</file>