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44E" w:rsidRDefault="0038091E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.7. Изменения, связанные с дополнением порядка предоставления информации участниками оптового рынка в АО «ЦФР»</w:t>
      </w:r>
    </w:p>
    <w:p w:rsidR="001A244E" w:rsidRDefault="0038091E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>5.7</w:t>
      </w:r>
    </w:p>
    <w:p w:rsidR="001A244E" w:rsidRDefault="001A244E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</w:rPr>
      </w:pPr>
    </w:p>
    <w:tbl>
      <w:tblPr>
        <w:tblW w:w="153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2"/>
      </w:tblGrid>
      <w:tr w:rsidR="001A244E">
        <w:trPr>
          <w:trHeight w:val="1034"/>
        </w:trPr>
        <w:tc>
          <w:tcPr>
            <w:tcW w:w="15342" w:type="dxa"/>
          </w:tcPr>
          <w:p w:rsidR="001A244E" w:rsidRDefault="0038091E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>
              <w:rPr>
                <w:rFonts w:ascii="Garamond" w:hAnsi="Garamond"/>
                <w:bCs/>
              </w:rPr>
              <w:t>АО «ЦФР».</w:t>
            </w:r>
          </w:p>
          <w:p w:rsidR="001A244E" w:rsidRDefault="0038091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</w:rPr>
              <w:t>: изменения разработаны в соответствии с поручением Комиссии при Наблюдательном совете Ассоциации «НП Совет рынка» по платежам на оптовом рынке электроэнергии и мощности о включении в отчетную форму приложений 47а и 47а (единая) информации о расчетах и задолженности на розничных рынках электроэнергии подведомственной организации Минобороны России ФГБУ «ЦЖКУ» Минобороны России (Протокол от 28.03.2019 г. № 3, вопрос №</w:t>
            </w:r>
            <w:r w:rsidR="005C1688" w:rsidRPr="005C168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1).</w:t>
            </w:r>
          </w:p>
          <w:p w:rsidR="001A244E" w:rsidRDefault="0038091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</w:rPr>
              <w:t>1 августа 2019 года.</w:t>
            </w:r>
          </w:p>
        </w:tc>
      </w:tr>
    </w:tbl>
    <w:p w:rsidR="001A244E" w:rsidRDefault="001A244E">
      <w:pPr>
        <w:keepNext/>
        <w:ind w:right="-296"/>
        <w:jc w:val="both"/>
        <w:rPr>
          <w:rFonts w:ascii="Garamond" w:hAnsi="Garamond"/>
          <w:b/>
          <w:bCs/>
          <w:sz w:val="26"/>
          <w:szCs w:val="26"/>
        </w:rPr>
      </w:pPr>
    </w:p>
    <w:p w:rsidR="001A244E" w:rsidRDefault="0038091E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16 к Договору о присоединении к торговой системе оптового рынка)</w:t>
      </w:r>
    </w:p>
    <w:p w:rsidR="001A244E" w:rsidRDefault="001A244E">
      <w:pPr>
        <w:keepNext/>
        <w:ind w:right="-296"/>
        <w:jc w:val="both"/>
        <w:rPr>
          <w:rFonts w:ascii="Garamond" w:hAnsi="Garamond"/>
          <w:b/>
          <w:bCs/>
          <w:sz w:val="26"/>
          <w:szCs w:val="26"/>
        </w:rPr>
      </w:pPr>
    </w:p>
    <w:p w:rsidR="001A244E" w:rsidRDefault="0038091E">
      <w:pPr>
        <w:rPr>
          <w:rFonts w:ascii="Garamond" w:hAnsi="Garamond"/>
          <w:b/>
        </w:rPr>
      </w:pPr>
      <w:r>
        <w:rPr>
          <w:rFonts w:ascii="Garamond" w:hAnsi="Garamond"/>
          <w:b/>
        </w:rPr>
        <w:t>Действующая редакция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 Приложение 47а</w:t>
      </w:r>
    </w:p>
    <w:p w:rsidR="001A244E" w:rsidRDefault="001A244E">
      <w:pPr>
        <w:rPr>
          <w:rFonts w:ascii="Garamond" w:hAnsi="Garamond"/>
          <w:b/>
        </w:rPr>
      </w:pPr>
    </w:p>
    <w:tbl>
      <w:tblPr>
        <w:tblW w:w="153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40"/>
        <w:gridCol w:w="802"/>
        <w:gridCol w:w="426"/>
        <w:gridCol w:w="425"/>
        <w:gridCol w:w="709"/>
        <w:gridCol w:w="708"/>
        <w:gridCol w:w="567"/>
        <w:gridCol w:w="851"/>
        <w:gridCol w:w="709"/>
        <w:gridCol w:w="708"/>
        <w:gridCol w:w="851"/>
        <w:gridCol w:w="850"/>
        <w:gridCol w:w="709"/>
        <w:gridCol w:w="567"/>
        <w:gridCol w:w="567"/>
        <w:gridCol w:w="709"/>
        <w:gridCol w:w="567"/>
        <w:gridCol w:w="425"/>
        <w:gridCol w:w="567"/>
        <w:gridCol w:w="709"/>
        <w:gridCol w:w="992"/>
      </w:tblGrid>
      <w:tr w:rsidR="001A244E">
        <w:trPr>
          <w:trHeight w:val="855"/>
        </w:trPr>
        <w:tc>
          <w:tcPr>
            <w:tcW w:w="126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Информация по реализации на потребительском рынке электрической энергии (мощности), предоставляемая участниками оптового рынка – гарантирующими поставщиками, энергосбытовыми компаниями в АО «ЦФР»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5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Название организации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Период (месяц)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по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1682"/>
        </w:trPr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кредиторская задолженность на конец отчетного периода ВСЕГО (остаток авансовых платежей на конец отчетного периода полученных за энергию),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дебиторская задолженность на конец отчетного периода ВСЕГО, тыс. руб.</w:t>
            </w:r>
          </w:p>
        </w:tc>
        <w:tc>
          <w:tcPr>
            <w:tcW w:w="411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1A244E">
        <w:trPr>
          <w:trHeight w:val="495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50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122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оченная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Исковая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7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1A244E">
        <w:trPr>
          <w:trHeight w:val="209"/>
        </w:trPr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1A244E">
        <w:trPr>
          <w:trHeight w:val="819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86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3. О</w:t>
            </w:r>
            <w:r>
              <w:rPr>
                <w:rFonts w:ascii="Arial" w:hAnsi="Arial" w:cs="Arial"/>
                <w:sz w:val="12"/>
                <w:szCs w:val="12"/>
              </w:rPr>
              <w:t>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4. Предприятия Минобороны РФ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5. Бюджетные потребители (без учета предприятий Минобороны), ВСЕГО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73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1262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"Бюджетные потребители" - строка "Федеральный бюджет", без учета предприятий Минобороны)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557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. Сельскохозяйственные товаропроизводители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. Население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51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. Потребители – управляющие компании, ТСЖ, ЖСК и т.д., ВСЕГО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855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03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10</w:t>
            </w:r>
            <w:r>
              <w:rPr>
                <w:rFonts w:ascii="Arial" w:hAnsi="Arial" w:cs="Arial"/>
                <w:sz w:val="12"/>
                <w:szCs w:val="12"/>
              </w:rPr>
              <w:t>. Потери **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27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потери МРСК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потери прочие ТСО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3"/>
        </w:trPr>
        <w:tc>
          <w:tcPr>
            <w:tcW w:w="1436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2000г. № 51 и которые являются потребителями систем коммунальной инфраструктуры (сферы ЖКХ), в т. ч.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оптиковолоконные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77"/>
        </w:trPr>
        <w:tc>
          <w:tcPr>
            <w:tcW w:w="136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0"/>
        </w:trPr>
        <w:tc>
          <w:tcPr>
            <w:tcW w:w="1436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– списано безнадежной задолженности за отчетный период (столбец 6 данного отчета).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6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35"/>
        </w:trPr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(Остаток авансовых платежей на конец отчетного периода) ВСЕГО, тыс. руб.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ВСЕГО, тыс. руб.</w:t>
            </w:r>
          </w:p>
        </w:tc>
        <w:tc>
          <w:tcPr>
            <w:tcW w:w="411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Кредиторская задолженность на конец отчетного периода, в т. ч.: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60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297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45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894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7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39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6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4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услуги по передаче МРСК 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5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услуги по передаче прочих ТСО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14"/>
        </w:trPr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559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9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покупка у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ФИО исполнителя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lastRenderedPageBreak/>
              <w:t>Контактный телефон исполнителя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Должность исполнителя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Адрес электронной почты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</w:tbl>
    <w:p w:rsidR="001A244E" w:rsidRDefault="001A244E">
      <w:pPr>
        <w:rPr>
          <w:rFonts w:ascii="Garamond" w:hAnsi="Garamond"/>
          <w:b/>
        </w:rPr>
      </w:pPr>
    </w:p>
    <w:p w:rsidR="001A244E" w:rsidRDefault="0038091E">
      <w:pPr>
        <w:rPr>
          <w:rFonts w:ascii="Garamond" w:hAnsi="Garamond"/>
          <w:b/>
        </w:rPr>
      </w:pPr>
      <w:r>
        <w:rPr>
          <w:rFonts w:ascii="Garamond" w:hAnsi="Garamond"/>
          <w:b/>
        </w:rPr>
        <w:t>Предлагаемая редакция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Приложение 47а</w:t>
      </w:r>
    </w:p>
    <w:p w:rsidR="001A244E" w:rsidRDefault="001A244E">
      <w:pPr>
        <w:rPr>
          <w:rFonts w:ascii="Garamond" w:hAnsi="Garamond"/>
          <w:b/>
        </w:rPr>
      </w:pPr>
    </w:p>
    <w:tbl>
      <w:tblPr>
        <w:tblW w:w="153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40"/>
        <w:gridCol w:w="1228"/>
        <w:gridCol w:w="567"/>
        <w:gridCol w:w="708"/>
        <w:gridCol w:w="709"/>
        <w:gridCol w:w="709"/>
        <w:gridCol w:w="567"/>
        <w:gridCol w:w="567"/>
        <w:gridCol w:w="709"/>
        <w:gridCol w:w="567"/>
        <w:gridCol w:w="850"/>
        <w:gridCol w:w="709"/>
        <w:gridCol w:w="709"/>
        <w:gridCol w:w="567"/>
        <w:gridCol w:w="567"/>
        <w:gridCol w:w="567"/>
        <w:gridCol w:w="567"/>
        <w:gridCol w:w="708"/>
        <w:gridCol w:w="709"/>
        <w:gridCol w:w="1096"/>
      </w:tblGrid>
      <w:tr w:rsidR="001A244E">
        <w:trPr>
          <w:trHeight w:val="855"/>
        </w:trPr>
        <w:tc>
          <w:tcPr>
            <w:tcW w:w="122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Информация по реализации на потребительском рынке электрической энергии (мощности), предоставляемая участниками оптового рынка – гарантирующими поставщиками, энергосбытовыми компаниями в АО «ЦФР»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5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Название организации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Период (месяц)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10"/>
        </w:trPr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12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тыс. руб.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кредиторская задолженность на конец отчетного периода ВСЕГО (остаток авансовых платежей на конец отчетного периода полученных за энергию),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дебиторская задолженность на конец отчетного периода ВСЕГО, тыс. руб.</w:t>
            </w:r>
          </w:p>
        </w:tc>
        <w:tc>
          <w:tcPr>
            <w:tcW w:w="43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1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1A244E">
        <w:trPr>
          <w:trHeight w:val="495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50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42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7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1A244E">
        <w:trPr>
          <w:trHeight w:val="209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1A244E">
        <w:trPr>
          <w:trHeight w:val="819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lastRenderedPageBreak/>
              <w:t xml:space="preserve">из них потребители ЖКХ *, ВСЕГО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791"/>
        </w:trPr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 3. Предприятия Минобороны России (без учета ФГБУ «ЦЖКУ» Минобороны России и АО «</w:t>
            </w:r>
            <w:proofErr w:type="spellStart"/>
            <w:r>
              <w:rPr>
                <w:rFonts w:ascii="Arial" w:hAnsi="Arial" w:cs="Arial"/>
                <w:sz w:val="12"/>
                <w:szCs w:val="12"/>
                <w:highlight w:val="yellow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  <w:highlight w:val="yellow"/>
              </w:rPr>
              <w:t>»)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highlight w:val="yellow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highlight w:val="yellow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86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4.</w:t>
            </w:r>
            <w:r>
              <w:rPr>
                <w:rFonts w:ascii="Arial" w:hAnsi="Arial" w:cs="Arial"/>
                <w:sz w:val="12"/>
                <w:szCs w:val="12"/>
              </w:rPr>
              <w:t xml:space="preserve"> 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83"/>
              <w:rPr>
                <w:rFonts w:ascii="Arial" w:hAnsi="Arial" w:cs="Arial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 5. ФГБУ «ЦЖКУ» Минобороны России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</w:tr>
      <w:tr w:rsidR="001A244E">
        <w:trPr>
          <w:trHeight w:val="56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6. Бюджетные потребители, ВСЕГО (без учета предприятий Минобороны России, ФГБУ </w:t>
            </w:r>
            <w:r w:rsidR="005C1688">
              <w:rPr>
                <w:rFonts w:ascii="Arial" w:hAnsi="Arial" w:cs="Arial"/>
                <w:sz w:val="12"/>
                <w:szCs w:val="12"/>
                <w:highlight w:val="yellow"/>
              </w:rPr>
              <w:t>«ЦЖКУ» Минобороны России и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 АО «</w:t>
            </w:r>
            <w:proofErr w:type="spellStart"/>
            <w:r>
              <w:rPr>
                <w:rFonts w:ascii="Arial" w:hAnsi="Arial" w:cs="Arial"/>
                <w:sz w:val="12"/>
                <w:szCs w:val="12"/>
                <w:highlight w:val="yellow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  <w:highlight w:val="yellow"/>
              </w:rPr>
              <w:t>»)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73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1262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"Бюджетные потребители" - строка "Федеральный бюджет", без учета предприятий Минобороны)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557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  <w:lang w:val="en-US"/>
              </w:rPr>
              <w:t>7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.</w:t>
            </w:r>
            <w:r>
              <w:rPr>
                <w:rFonts w:ascii="Arial" w:hAnsi="Arial" w:cs="Arial"/>
                <w:sz w:val="12"/>
                <w:szCs w:val="12"/>
              </w:rPr>
              <w:t xml:space="preserve"> Сельскохозяйственные товаропроизводители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8.</w:t>
            </w:r>
            <w:r>
              <w:rPr>
                <w:rFonts w:ascii="Arial" w:hAnsi="Arial" w:cs="Arial"/>
                <w:sz w:val="12"/>
                <w:szCs w:val="12"/>
              </w:rPr>
              <w:t xml:space="preserve"> Население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51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9.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Потребители – управляющие компании, ТСЖ, ЖСК и т.д., ВСЕГО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855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10.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03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11.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Потери **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27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потери МРСК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потери прочие ТСО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3"/>
        </w:trPr>
        <w:tc>
          <w:tcPr>
            <w:tcW w:w="142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2000г. № 51 и которые являются потребителями систем коммунальной инфраструктуры (сферы ЖКХ), в т. ч.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оптиковолоконные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77"/>
        </w:trPr>
        <w:tc>
          <w:tcPr>
            <w:tcW w:w="135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0"/>
        </w:trPr>
        <w:tc>
          <w:tcPr>
            <w:tcW w:w="142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– списано безнадежной задолженности за отчетный период (столбец 6 данного отчета).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6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35"/>
        </w:trPr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12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(Остаток авансовых платежей на конец отчетного периода) ВСЕГО, тыс. руб.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ВСЕГО, тыс. руб.</w:t>
            </w:r>
          </w:p>
        </w:tc>
        <w:tc>
          <w:tcPr>
            <w:tcW w:w="43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Кредиторская задолженность на конец отчетного периода, в т. ч.: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60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45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51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7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39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6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4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услуги по передаче МРСК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5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услуги по передаче прочих ТСО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14"/>
        </w:trPr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559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9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покупка у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ФИО исполнителя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Контактный телефон исполнителя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Должность исполнителя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25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Адрес электронной почты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</w:tbl>
    <w:p w:rsidR="001A244E" w:rsidRDefault="001A244E">
      <w:pPr>
        <w:rPr>
          <w:rFonts w:ascii="Garamond" w:hAnsi="Garamond"/>
          <w:b/>
        </w:rPr>
      </w:pPr>
    </w:p>
    <w:p w:rsidR="001A244E" w:rsidRDefault="0038091E">
      <w:pPr>
        <w:spacing w:after="160" w:line="259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1A244E" w:rsidRDefault="0038091E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</w:rPr>
        <w:lastRenderedPageBreak/>
        <w:t>Действующая редакция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  <w:sz w:val="22"/>
          <w:szCs w:val="22"/>
        </w:rPr>
        <w:t>Приложение 47а (единая)</w:t>
      </w:r>
    </w:p>
    <w:p w:rsidR="001A244E" w:rsidRDefault="001A244E">
      <w:pPr>
        <w:rPr>
          <w:rFonts w:ascii="Garamond" w:hAnsi="Garamond"/>
          <w:b/>
          <w:sz w:val="22"/>
          <w:szCs w:val="22"/>
        </w:rPr>
      </w:pPr>
    </w:p>
    <w:tbl>
      <w:tblPr>
        <w:tblW w:w="5089" w:type="pct"/>
        <w:tblLayout w:type="fixed"/>
        <w:tblLook w:val="00A0" w:firstRow="1" w:lastRow="0" w:firstColumn="1" w:lastColumn="0" w:noHBand="0" w:noVBand="0"/>
      </w:tblPr>
      <w:tblGrid>
        <w:gridCol w:w="1644"/>
        <w:gridCol w:w="710"/>
        <w:gridCol w:w="700"/>
        <w:gridCol w:w="718"/>
        <w:gridCol w:w="700"/>
        <w:gridCol w:w="590"/>
        <w:gridCol w:w="694"/>
        <w:gridCol w:w="581"/>
        <w:gridCol w:w="584"/>
        <w:gridCol w:w="700"/>
        <w:gridCol w:w="860"/>
        <w:gridCol w:w="860"/>
        <w:gridCol w:w="483"/>
        <w:gridCol w:w="899"/>
        <w:gridCol w:w="513"/>
        <w:gridCol w:w="670"/>
        <w:gridCol w:w="824"/>
        <w:gridCol w:w="596"/>
        <w:gridCol w:w="827"/>
        <w:gridCol w:w="676"/>
      </w:tblGrid>
      <w:tr w:rsidR="001A244E">
        <w:trPr>
          <w:trHeight w:val="855"/>
        </w:trPr>
        <w:tc>
          <w:tcPr>
            <w:tcW w:w="4014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 CYR"/>
                <w:b/>
                <w:bCs/>
                <w:sz w:val="22"/>
                <w:szCs w:val="22"/>
              </w:rPr>
              <w:t>Информация о реализации на потребительском рынке электрической энергии (мощности), предоставляемая участниками оптового рынка – гарантирующими поставщиками, энергосбытовыми компаниями в АО «ЦФР»</w:t>
            </w:r>
          </w:p>
          <w:p w:rsidR="001A244E" w:rsidRDefault="001A244E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  <w:p w:rsidR="001A244E" w:rsidRDefault="0038091E">
            <w:pPr>
              <w:rPr>
                <w:rFonts w:cs="Arial CYR"/>
                <w:b/>
                <w:bCs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В целом по участнику оптового рынка (указывается наименование участника оптового рынка)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585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Название организации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Период (месяц)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по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bottom w:val="single" w:sz="4" w:space="0" w:color="auto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10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 (остаток авансовых платежей на конец отчетного периода, полученных за энергию), тыс. руб.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2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1A244E">
        <w:trPr>
          <w:trHeight w:val="495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50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1317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70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1A244E">
        <w:trPr>
          <w:trHeight w:val="209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1A244E">
        <w:trPr>
          <w:trHeight w:val="81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86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3. О</w:t>
            </w:r>
            <w:r>
              <w:rPr>
                <w:rFonts w:ascii="Arial" w:hAnsi="Arial" w:cs="Arial"/>
                <w:sz w:val="12"/>
                <w:szCs w:val="12"/>
              </w:rPr>
              <w:t>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 4. Предприятия Минобороны РФ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5. Бюджетные потребители (без учета предприятий Минобороны), ВСЕГО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73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1262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«Бюджетные потребители» - строка «Федеральный бюджет», без учета предприятий Минобороны)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557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6.</w:t>
            </w:r>
            <w:r>
              <w:rPr>
                <w:rFonts w:ascii="Arial" w:hAnsi="Arial" w:cs="Arial"/>
                <w:sz w:val="12"/>
                <w:szCs w:val="12"/>
              </w:rPr>
              <w:t xml:space="preserve"> Сельскохозяйственные товаропроизводители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4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7.</w:t>
            </w:r>
            <w:r>
              <w:rPr>
                <w:rFonts w:ascii="Arial" w:hAnsi="Arial" w:cs="Arial"/>
                <w:sz w:val="12"/>
                <w:szCs w:val="12"/>
              </w:rPr>
              <w:t xml:space="preserve"> Население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51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. Потребители – управляющие компании, ТСЖ, ЖСК и т.д., 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85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03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10.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Потери **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потери МРСК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потери прочие ТСО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5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3"/>
        </w:trPr>
        <w:tc>
          <w:tcPr>
            <w:tcW w:w="4772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 г. № 51 и которые являются потребителями систем коммунальной инфраструктуры (сферы ЖКХ),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77"/>
        </w:trPr>
        <w:tc>
          <w:tcPr>
            <w:tcW w:w="4493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358"/>
        </w:trPr>
        <w:tc>
          <w:tcPr>
            <w:tcW w:w="4772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– 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 (столбец 6 данного отчета).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728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35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2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Фактические начисления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м периоде,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Реализация продукции за отчетный перио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lastRenderedPageBreak/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дебиторская задолженность (остаток авансовых платежей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на конец отчетного периода) ВСЕГО, тыс. руб.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кредиторская задолженность на конец отчетного периода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ВСЕГО, тыс. руб.</w:t>
            </w:r>
          </w:p>
        </w:tc>
        <w:tc>
          <w:tcPr>
            <w:tcW w:w="1623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Кредиторская задолженность на конец отчетного периода,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6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4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36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3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6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41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14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55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855"/>
        </w:trPr>
        <w:tc>
          <w:tcPr>
            <w:tcW w:w="4014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cs="Arial"/>
                <w:b/>
                <w:bCs/>
                <w:color w:val="000000"/>
              </w:rPr>
            </w:pPr>
          </w:p>
          <w:p w:rsidR="001A244E" w:rsidRDefault="0038091E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По субъекту РФ 1 (указывается наименование субъекта РФ 1, в котором участник оптового рынка осуществляет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энергосбытовую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 деятельность)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585"/>
        </w:trPr>
        <w:tc>
          <w:tcPr>
            <w:tcW w:w="554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554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10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 (остаток авансовых платежей на конец отчетного периода, полученных за энергию),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23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1A244E">
        <w:trPr>
          <w:trHeight w:val="49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5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979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1A244E">
        <w:trPr>
          <w:trHeight w:val="209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1A244E">
        <w:trPr>
          <w:trHeight w:val="81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86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3. О</w:t>
            </w:r>
            <w:r>
              <w:rPr>
                <w:rFonts w:ascii="Arial" w:hAnsi="Arial" w:cs="Arial"/>
                <w:sz w:val="12"/>
                <w:szCs w:val="12"/>
              </w:rPr>
              <w:t>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4. Предприятия Минобороны РФ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5. Бюджетные потребители (без учета предприятий Минобороны), ВСЕГО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73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1262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«Бюджетные потребители» - строка «Федеральный бюджет», без учета предприятий Минобороны)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557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. Сельскохозяйственные товаропроизводители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4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. Население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51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8.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Потребители – управляющие компании, ТСЖ, ЖСК и т.д., 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85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03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10.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Потери **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потери МРСК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потери прочие ТСО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5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3"/>
        </w:trPr>
        <w:tc>
          <w:tcPr>
            <w:tcW w:w="4772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 г. № 51 и которые являются потребителями систем коммунальной инфраструктуры (сферы ЖКХ),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77"/>
        </w:trPr>
        <w:tc>
          <w:tcPr>
            <w:tcW w:w="4493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364"/>
        </w:trPr>
        <w:tc>
          <w:tcPr>
            <w:tcW w:w="4772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– списано безнадежной задолженности за отчетный период (столбец 6 данного отчета).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6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35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2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(остаток авансовых платежей на конец отчетного периода) ВСЕГО, тыс. руб.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ВСЕГО, тыс. руб.</w:t>
            </w:r>
          </w:p>
        </w:tc>
        <w:tc>
          <w:tcPr>
            <w:tcW w:w="1623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Кредиторская задолженность на конец отчетного периода,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6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4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3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6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41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14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55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1A244E" w:rsidRDefault="0038091E">
      <w:r>
        <w:br w:type="page"/>
      </w:r>
    </w:p>
    <w:tbl>
      <w:tblPr>
        <w:tblW w:w="5089" w:type="pct"/>
        <w:tblLayout w:type="fixed"/>
        <w:tblLook w:val="00A0" w:firstRow="1" w:lastRow="0" w:firstColumn="1" w:lastColumn="0" w:noHBand="0" w:noVBand="0"/>
      </w:tblPr>
      <w:tblGrid>
        <w:gridCol w:w="1644"/>
        <w:gridCol w:w="648"/>
        <w:gridCol w:w="62"/>
        <w:gridCol w:w="552"/>
        <w:gridCol w:w="148"/>
        <w:gridCol w:w="718"/>
        <w:gridCol w:w="700"/>
        <w:gridCol w:w="590"/>
        <w:gridCol w:w="694"/>
        <w:gridCol w:w="581"/>
        <w:gridCol w:w="584"/>
        <w:gridCol w:w="700"/>
        <w:gridCol w:w="860"/>
        <w:gridCol w:w="860"/>
        <w:gridCol w:w="483"/>
        <w:gridCol w:w="899"/>
        <w:gridCol w:w="513"/>
        <w:gridCol w:w="670"/>
        <w:gridCol w:w="824"/>
        <w:gridCol w:w="596"/>
        <w:gridCol w:w="827"/>
        <w:gridCol w:w="676"/>
      </w:tblGrid>
      <w:tr w:rsidR="001A244E">
        <w:trPr>
          <w:trHeight w:val="855"/>
        </w:trPr>
        <w:tc>
          <w:tcPr>
            <w:tcW w:w="4014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  <w:p w:rsidR="001A244E" w:rsidRDefault="0038091E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По субъекту РФ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 (указывается наименование субъекта РФ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, в котором участник оптового рынка осуществляет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энергосбытовую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 деятельность)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Arial CYR" w:hAnsi="Arial CYR" w:cs="Arial CYR"/>
                <w:sz w:val="20"/>
              </w:rPr>
            </w:pPr>
          </w:p>
        </w:tc>
      </w:tr>
      <w:tr w:rsidR="001A244E">
        <w:trPr>
          <w:trHeight w:val="585"/>
        </w:trPr>
        <w:tc>
          <w:tcPr>
            <w:tcW w:w="554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554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10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 (остаток авансовых платежей на конец отчетного периода, полученных за энергию),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23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1A244E">
        <w:trPr>
          <w:trHeight w:val="49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5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838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1A244E">
        <w:trPr>
          <w:trHeight w:val="209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1A244E">
        <w:trPr>
          <w:trHeight w:val="81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86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3. О</w:t>
            </w:r>
            <w:r>
              <w:rPr>
                <w:rFonts w:ascii="Arial" w:hAnsi="Arial" w:cs="Arial"/>
                <w:sz w:val="12"/>
                <w:szCs w:val="12"/>
              </w:rPr>
              <w:t>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4. Предприятия Минобороны РФ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5. Бюджетные потребители (без учета предприятий Минобороны), ВСЕГО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73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lastRenderedPageBreak/>
              <w:t xml:space="preserve">предприятий Минобороны)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lastRenderedPageBreak/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16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«Бюджетные потребители» - строка «Федеральный бюджет», без учета предприятий Минобороны)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557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. Сельскохозяйственные товаропроизводители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4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. Население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4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8.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Потребители – управляющие компании, ТСЖ, ЖСК и т.д., ВСЕГО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85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03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10.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Потери **</w:t>
            </w:r>
          </w:p>
        </w:tc>
        <w:tc>
          <w:tcPr>
            <w:tcW w:w="2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потери МРСК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потери прочие ТСО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5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3"/>
        </w:trPr>
        <w:tc>
          <w:tcPr>
            <w:tcW w:w="477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 г. № 51 и которые являются потребителями систем коммунальной инфраструктуры (сферы ЖКХ),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77"/>
        </w:trPr>
        <w:tc>
          <w:tcPr>
            <w:tcW w:w="4493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13"/>
        </w:trPr>
        <w:tc>
          <w:tcPr>
            <w:tcW w:w="477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– списано безнадежной задолженности за отчетный период (столбец 6 данного отчета).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6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35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(остаток авансовых платежей на конец отчетного периода) ВСЕГО, тыс. руб.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ВСЕГО, тыс. руб.</w:t>
            </w:r>
          </w:p>
        </w:tc>
        <w:tc>
          <w:tcPr>
            <w:tcW w:w="1623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Кредиторская задолженность на конец отчетного периода,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6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4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83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3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lastRenderedPageBreak/>
              <w:t>БЛОК II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6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41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14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55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95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118"/>
        </w:trPr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1A244E" w:rsidRDefault="001A244E">
            <w:pPr>
              <w:ind w:left="347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gridAfter w:val="18"/>
          <w:wAfter w:w="4021" w:type="pct"/>
          <w:trHeight w:val="255"/>
        </w:trPr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Ф. И. О. исполнителя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1A244E">
        <w:trPr>
          <w:gridAfter w:val="18"/>
          <w:wAfter w:w="4021" w:type="pct"/>
          <w:trHeight w:val="255"/>
        </w:trPr>
        <w:tc>
          <w:tcPr>
            <w:tcW w:w="7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1A244E">
        <w:trPr>
          <w:gridAfter w:val="18"/>
          <w:wAfter w:w="4021" w:type="pct"/>
          <w:trHeight w:val="255"/>
        </w:trPr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Контактный телефон исполнителя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1A244E">
        <w:trPr>
          <w:gridAfter w:val="18"/>
          <w:wAfter w:w="4021" w:type="pct"/>
          <w:trHeight w:val="255"/>
        </w:trPr>
        <w:tc>
          <w:tcPr>
            <w:tcW w:w="7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1A244E">
        <w:trPr>
          <w:gridAfter w:val="18"/>
          <w:wAfter w:w="4021" w:type="pct"/>
          <w:trHeight w:val="255"/>
        </w:trPr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Должность исполнителя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1A244E">
        <w:trPr>
          <w:gridAfter w:val="18"/>
          <w:wAfter w:w="4021" w:type="pct"/>
          <w:trHeight w:val="255"/>
        </w:trPr>
        <w:tc>
          <w:tcPr>
            <w:tcW w:w="7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1A244E">
        <w:trPr>
          <w:gridAfter w:val="18"/>
          <w:wAfter w:w="4021" w:type="pct"/>
          <w:trHeight w:val="255"/>
        </w:trPr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Адрес электронной почты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</w:tbl>
    <w:p w:rsidR="001A244E" w:rsidRDefault="001A244E">
      <w:pPr>
        <w:rPr>
          <w:rFonts w:ascii="Garamond" w:hAnsi="Garamond"/>
          <w:b/>
        </w:rPr>
      </w:pPr>
    </w:p>
    <w:p w:rsidR="001A244E" w:rsidRDefault="0038091E">
      <w:pPr>
        <w:spacing w:after="160" w:line="259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tbl>
      <w:tblPr>
        <w:tblW w:w="5089" w:type="pct"/>
        <w:tblLayout w:type="fixed"/>
        <w:tblLook w:val="00A0" w:firstRow="1" w:lastRow="0" w:firstColumn="1" w:lastColumn="0" w:noHBand="0" w:noVBand="0"/>
      </w:tblPr>
      <w:tblGrid>
        <w:gridCol w:w="1644"/>
        <w:gridCol w:w="653"/>
        <w:gridCol w:w="57"/>
        <w:gridCol w:w="558"/>
        <w:gridCol w:w="142"/>
        <w:gridCol w:w="718"/>
        <w:gridCol w:w="700"/>
        <w:gridCol w:w="590"/>
        <w:gridCol w:w="694"/>
        <w:gridCol w:w="581"/>
        <w:gridCol w:w="584"/>
        <w:gridCol w:w="700"/>
        <w:gridCol w:w="860"/>
        <w:gridCol w:w="860"/>
        <w:gridCol w:w="483"/>
        <w:gridCol w:w="899"/>
        <w:gridCol w:w="513"/>
        <w:gridCol w:w="670"/>
        <w:gridCol w:w="824"/>
        <w:gridCol w:w="596"/>
        <w:gridCol w:w="827"/>
        <w:gridCol w:w="676"/>
      </w:tblGrid>
      <w:tr w:rsidR="001A244E">
        <w:trPr>
          <w:trHeight w:val="855"/>
        </w:trPr>
        <w:tc>
          <w:tcPr>
            <w:tcW w:w="4014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</w:rPr>
              <w:lastRenderedPageBreak/>
              <w:t>Предлагаемая редакция</w:t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  <w:sz w:val="22"/>
                <w:szCs w:val="22"/>
              </w:rPr>
              <w:t>Приложение 47а (единая)</w:t>
            </w:r>
          </w:p>
          <w:p w:rsidR="001A244E" w:rsidRDefault="0038091E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 CYR"/>
                <w:b/>
                <w:bCs/>
                <w:sz w:val="22"/>
                <w:szCs w:val="22"/>
              </w:rPr>
              <w:t>Информация о реализации на потребительском рынке электрической энергии (мощности), предоставляемая участниками оптового рынка – гарантирующими поставщиками, энергосбытовыми компаниями в АО «ЦФР»</w:t>
            </w:r>
          </w:p>
          <w:p w:rsidR="001A244E" w:rsidRDefault="001A244E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  <w:p w:rsidR="001A244E" w:rsidRDefault="0038091E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В целом по участнику оптового рынка (указывается наименование участника оптового рынка)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</w:tr>
      <w:tr w:rsidR="001A244E">
        <w:trPr>
          <w:trHeight w:val="585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Название организации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Период (месяц)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по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41"/>
        </w:trPr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bottom w:val="single" w:sz="4" w:space="0" w:color="auto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10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 (остаток авансовых платежей на конец отчетного периода, полученных за энергию), тыс. руб.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1A244E">
        <w:trPr>
          <w:trHeight w:val="495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50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1317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70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1A244E">
        <w:trPr>
          <w:trHeight w:val="209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1A244E">
        <w:trPr>
          <w:trHeight w:val="81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 3. Предприятия Минобороны России (без учета ФГБУ «ЦЖКУ» Минобороны России и АО «</w:t>
            </w:r>
            <w:proofErr w:type="spellStart"/>
            <w:r>
              <w:rPr>
                <w:rFonts w:ascii="Arial" w:hAnsi="Arial" w:cs="Arial"/>
                <w:sz w:val="12"/>
                <w:szCs w:val="12"/>
                <w:highlight w:val="yellow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  <w:highlight w:val="yellow"/>
              </w:rPr>
              <w:t>»)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86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4.</w:t>
            </w:r>
            <w:r>
              <w:rPr>
                <w:rFonts w:ascii="Arial" w:hAnsi="Arial" w:cs="Arial"/>
                <w:sz w:val="12"/>
                <w:szCs w:val="12"/>
              </w:rPr>
              <w:t xml:space="preserve"> 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83"/>
              <w:rPr>
                <w:rFonts w:ascii="Arial" w:hAnsi="Arial" w:cs="Arial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 5. ФГБУ «ЦЖКУ» Минобороны России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6. Бюджетные потребители, ВСЕГО (без учета предприятий Минобороны России, ФГБУ </w:t>
            </w:r>
            <w:r w:rsidR="005C1688">
              <w:rPr>
                <w:rFonts w:ascii="Arial" w:hAnsi="Arial" w:cs="Arial"/>
                <w:sz w:val="12"/>
                <w:szCs w:val="12"/>
                <w:highlight w:val="yellow"/>
              </w:rPr>
              <w:t xml:space="preserve">«ЦЖКУ» Минобороны России и   АО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«</w:t>
            </w:r>
            <w:proofErr w:type="spellStart"/>
            <w:r>
              <w:rPr>
                <w:rFonts w:ascii="Arial" w:hAnsi="Arial" w:cs="Arial"/>
                <w:sz w:val="12"/>
                <w:szCs w:val="12"/>
                <w:highlight w:val="yellow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  <w:highlight w:val="yellow"/>
              </w:rPr>
              <w:t>»)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73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1262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"Бюджетные потребители" - строка "Федеральный бюджет", без учета предприятий Минобороны)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557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  <w:lang w:val="en-US"/>
              </w:rPr>
              <w:t>7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.</w:t>
            </w:r>
            <w:r>
              <w:rPr>
                <w:rFonts w:ascii="Arial" w:hAnsi="Arial" w:cs="Arial"/>
                <w:sz w:val="12"/>
                <w:szCs w:val="12"/>
              </w:rPr>
              <w:t xml:space="preserve"> Сельскохозяйственные товаропроизводители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4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8.</w:t>
            </w:r>
            <w:r>
              <w:rPr>
                <w:rFonts w:ascii="Arial" w:hAnsi="Arial" w:cs="Arial"/>
                <w:sz w:val="12"/>
                <w:szCs w:val="12"/>
              </w:rPr>
              <w:t xml:space="preserve"> Население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51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9.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Потребители – управляющие компании, ТСЖ, ЖСК и т.д., ВСЕГО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85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10.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03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11.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Потери **</w:t>
            </w:r>
          </w:p>
        </w:tc>
        <w:tc>
          <w:tcPr>
            <w:tcW w:w="2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потери МРСК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потери прочие ТСО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5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3"/>
        </w:trPr>
        <w:tc>
          <w:tcPr>
            <w:tcW w:w="477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 г. № 51 и которые являются потребителями систем коммунальной инфраструктуры (сферы ЖКХ),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77"/>
        </w:trPr>
        <w:tc>
          <w:tcPr>
            <w:tcW w:w="4493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358"/>
        </w:trPr>
        <w:tc>
          <w:tcPr>
            <w:tcW w:w="477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– 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 (столбец 6 данного отчета).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728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35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Расчеты с контрагентами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(остаток авансовых платежей на конец отчетного периода) ВСЕГО, тыс. руб.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ВСЕГО, тыс. руб.</w:t>
            </w:r>
          </w:p>
        </w:tc>
        <w:tc>
          <w:tcPr>
            <w:tcW w:w="162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Кредиторская задолженность на конец отчетного периода,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6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4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36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3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6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41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14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55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855"/>
        </w:trPr>
        <w:tc>
          <w:tcPr>
            <w:tcW w:w="4014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  <w:p w:rsidR="001A244E" w:rsidRDefault="0038091E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По субъекту РФ 1 (указывается наименование субъекта РФ 1, в котором участник оптового рынка осуществляет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энергосбытовую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 деятельность)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</w:tr>
      <w:tr w:rsidR="001A244E">
        <w:trPr>
          <w:trHeight w:val="585"/>
        </w:trPr>
        <w:tc>
          <w:tcPr>
            <w:tcW w:w="554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554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10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Фактические начисления за электроэнергию (мощность) за отчетный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Фактическая сумма поступивших платежей за отчетный период,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Реализация продукции ***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lastRenderedPageBreak/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кредиторская задолженность на конец отчетного периода ВСЕГО (остаток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авансовых платежей на конец отчетного периода, полученных за энергию),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рован резерв по сомнительным долгам), ВСЕГО, тыс. руб.</w:t>
            </w:r>
          </w:p>
        </w:tc>
      </w:tr>
      <w:tr w:rsidR="001A244E">
        <w:trPr>
          <w:trHeight w:val="49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5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979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1A244E">
        <w:trPr>
          <w:trHeight w:val="209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1A244E">
        <w:trPr>
          <w:trHeight w:val="81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 3. Предприятия Минобороны России (без учета ФГБУ «ЦЖКУ» Минобороны России и АО «</w:t>
            </w:r>
            <w:proofErr w:type="spellStart"/>
            <w:r>
              <w:rPr>
                <w:rFonts w:ascii="Arial" w:hAnsi="Arial" w:cs="Arial"/>
                <w:sz w:val="12"/>
                <w:szCs w:val="12"/>
                <w:highlight w:val="yellow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  <w:highlight w:val="yellow"/>
              </w:rPr>
              <w:t>»)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86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4.</w:t>
            </w:r>
            <w:r>
              <w:rPr>
                <w:rFonts w:ascii="Arial" w:hAnsi="Arial" w:cs="Arial"/>
                <w:sz w:val="12"/>
                <w:szCs w:val="12"/>
              </w:rPr>
              <w:t xml:space="preserve"> 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83"/>
              <w:rPr>
                <w:rFonts w:ascii="Arial" w:hAnsi="Arial" w:cs="Arial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 5. ФГБУ «ЦЖКУ» Минобороны России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6. Бюджетные потребители, ВСЕГО (без учета предприятий Минобороны России, ФГБУ «ЦЖКУ» Минобороны России и   АО «</w:t>
            </w:r>
            <w:proofErr w:type="spellStart"/>
            <w:r>
              <w:rPr>
                <w:rFonts w:ascii="Arial" w:hAnsi="Arial" w:cs="Arial"/>
                <w:sz w:val="12"/>
                <w:szCs w:val="12"/>
                <w:highlight w:val="yellow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  <w:highlight w:val="yellow"/>
              </w:rPr>
              <w:t>»)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73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1262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"Бюджетные потребители" - строка "Федеральный бюджет", без учета предприятий Минобороны)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557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  <w:lang w:val="en-US"/>
              </w:rPr>
              <w:lastRenderedPageBreak/>
              <w:t>7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.</w:t>
            </w:r>
            <w:r>
              <w:rPr>
                <w:rFonts w:ascii="Arial" w:hAnsi="Arial" w:cs="Arial"/>
                <w:sz w:val="12"/>
                <w:szCs w:val="12"/>
              </w:rPr>
              <w:t xml:space="preserve"> Сельскохозяйственные товаропроизводители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4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8.</w:t>
            </w:r>
            <w:r>
              <w:rPr>
                <w:rFonts w:ascii="Arial" w:hAnsi="Arial" w:cs="Arial"/>
                <w:sz w:val="12"/>
                <w:szCs w:val="12"/>
              </w:rPr>
              <w:t xml:space="preserve"> Население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51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9.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Потребители – управляющие компании, ТСЖ, ЖСК и т.д., ВСЕГО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85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10.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03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11.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Потери **</w:t>
            </w:r>
          </w:p>
        </w:tc>
        <w:tc>
          <w:tcPr>
            <w:tcW w:w="2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потери МРСК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потери прочие ТСО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5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3"/>
        </w:trPr>
        <w:tc>
          <w:tcPr>
            <w:tcW w:w="477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 г. № 51 и которые являются потребителями систем коммунальной инфраструктуры (сферы ЖКХ),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77"/>
        </w:trPr>
        <w:tc>
          <w:tcPr>
            <w:tcW w:w="4493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364"/>
        </w:trPr>
        <w:tc>
          <w:tcPr>
            <w:tcW w:w="477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– списано безнадежной задолженности за отчетный период (столбец 6 данного отчета).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6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35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(остаток авансовых платежей на конец отчетного периода) ВСЕГО, тыс. руб.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ВСЕГО, тыс. руб.</w:t>
            </w:r>
          </w:p>
        </w:tc>
        <w:tc>
          <w:tcPr>
            <w:tcW w:w="162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Кредиторская задолженность на конец отчетного периода,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6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4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3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6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41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14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55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855"/>
        </w:trPr>
        <w:tc>
          <w:tcPr>
            <w:tcW w:w="4014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  <w:p w:rsidR="001A244E" w:rsidRDefault="001A244E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  <w:p w:rsidR="001A244E" w:rsidRDefault="0038091E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По субъекту РФ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 (указывается наименование субъекта РФ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, в котором участник оптового рынка осуществляет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энергосбытовую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 деятельность)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</w:tr>
      <w:tr w:rsidR="001A244E">
        <w:trPr>
          <w:trHeight w:val="585"/>
        </w:trPr>
        <w:tc>
          <w:tcPr>
            <w:tcW w:w="554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15"/>
        </w:trPr>
        <w:tc>
          <w:tcPr>
            <w:tcW w:w="554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2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bottom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10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 (остаток авансовых платежей на конец отчетного периода, полученных за энергию),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2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1A244E">
        <w:trPr>
          <w:trHeight w:val="49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5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838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5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1A244E">
        <w:trPr>
          <w:trHeight w:val="209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1A244E">
        <w:trPr>
          <w:trHeight w:val="81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9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lastRenderedPageBreak/>
              <w:t xml:space="preserve"> 3. Предприятия Минобороны России (без учета ФГБУ «ЦЖКУ» Минобороны России и АО «</w:t>
            </w:r>
            <w:proofErr w:type="spellStart"/>
            <w:r>
              <w:rPr>
                <w:rFonts w:ascii="Arial" w:hAnsi="Arial" w:cs="Arial"/>
                <w:sz w:val="12"/>
                <w:szCs w:val="12"/>
                <w:highlight w:val="yellow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  <w:highlight w:val="yellow"/>
              </w:rPr>
              <w:t>»)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86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4.</w:t>
            </w:r>
            <w:r>
              <w:rPr>
                <w:rFonts w:ascii="Arial" w:hAnsi="Arial" w:cs="Arial"/>
                <w:sz w:val="12"/>
                <w:szCs w:val="12"/>
              </w:rPr>
              <w:t xml:space="preserve"> 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9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A244E" w:rsidRDefault="0038091E">
            <w:pPr>
              <w:ind w:left="83"/>
              <w:rPr>
                <w:rFonts w:ascii="Arial" w:hAnsi="Arial" w:cs="Arial"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 xml:space="preserve"> 5. ФГБУ «ЦЖКУ» Минобороны России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  <w:highlight w:val="yellow"/>
              </w:rPr>
            </w:pPr>
          </w:p>
        </w:tc>
      </w:tr>
      <w:tr w:rsidR="001A244E">
        <w:trPr>
          <w:trHeight w:val="56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6. Бюджетные потребители, ВСЕГО (без учета предприятий Минобороны России, ФГБУ «ЦЖКУ» Минобороны России и   АО «</w:t>
            </w:r>
            <w:proofErr w:type="spellStart"/>
            <w:r>
              <w:rPr>
                <w:rFonts w:ascii="Arial" w:hAnsi="Arial" w:cs="Arial"/>
                <w:sz w:val="12"/>
                <w:szCs w:val="12"/>
                <w:highlight w:val="yellow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  <w:highlight w:val="yellow"/>
              </w:rPr>
              <w:t>»)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573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1262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"Бюджетные потребители" - строка "Федеральный бюджет", без учета предприятий Минобороны)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557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  <w:lang w:val="en-US"/>
              </w:rPr>
              <w:t>7</w:t>
            </w:r>
            <w:r>
              <w:rPr>
                <w:rFonts w:ascii="Arial" w:hAnsi="Arial" w:cs="Arial"/>
                <w:sz w:val="12"/>
                <w:szCs w:val="12"/>
                <w:highlight w:val="yellow"/>
              </w:rPr>
              <w:t>.</w:t>
            </w:r>
            <w:r>
              <w:rPr>
                <w:rFonts w:ascii="Arial" w:hAnsi="Arial" w:cs="Arial"/>
                <w:sz w:val="12"/>
                <w:szCs w:val="12"/>
              </w:rPr>
              <w:t xml:space="preserve"> Сельскохозяйственные товаропроизводители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34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8.</w:t>
            </w:r>
            <w:r>
              <w:rPr>
                <w:rFonts w:ascii="Arial" w:hAnsi="Arial" w:cs="Arial"/>
                <w:sz w:val="12"/>
                <w:szCs w:val="12"/>
              </w:rPr>
              <w:t xml:space="preserve"> Население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4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9.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Потребители – управляющие компании, ТСЖ, ЖСК и т.д., ВСЕГО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85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10.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403"/>
        </w:trPr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highlight w:val="yellow"/>
              </w:rPr>
              <w:t>11.</w:t>
            </w:r>
            <w:r>
              <w:rPr>
                <w:rFonts w:ascii="Arial" w:hAnsi="Arial" w:cs="Arial"/>
                <w:sz w:val="12"/>
                <w:szCs w:val="12"/>
              </w:rPr>
              <w:t xml:space="preserve"> Потери **</w:t>
            </w:r>
          </w:p>
        </w:tc>
        <w:tc>
          <w:tcPr>
            <w:tcW w:w="2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1A244E">
        <w:trPr>
          <w:trHeight w:val="278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т. ч. потери МРСК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т. ч. потери прочие ТСО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1A244E">
        <w:trPr>
          <w:trHeight w:val="25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1A24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13"/>
        </w:trPr>
        <w:tc>
          <w:tcPr>
            <w:tcW w:w="477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 г. № 51 и которые являются потребителями систем коммунальной инфраструктуры (сферы ЖКХ),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77"/>
        </w:trPr>
        <w:tc>
          <w:tcPr>
            <w:tcW w:w="4493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213"/>
        </w:trPr>
        <w:tc>
          <w:tcPr>
            <w:tcW w:w="477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– списано безнадежной задолженности за отчетный период (столбец 6 данного отчета).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1A244E">
        <w:trPr>
          <w:trHeight w:val="465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435"/>
        </w:trPr>
        <w:tc>
          <w:tcPr>
            <w:tcW w:w="5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1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1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(остаток авансовых платежей на конец отчетного периода) ВСЕГО, тыс. руб.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ВСЕГО, тыс. руб.</w:t>
            </w:r>
          </w:p>
        </w:tc>
        <w:tc>
          <w:tcPr>
            <w:tcW w:w="162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Кредиторская задолженность на конец отчетного периода,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660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45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83"/>
        </w:trPr>
        <w:tc>
          <w:tcPr>
            <w:tcW w:w="5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7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3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260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415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75"/>
        </w:trPr>
        <w:tc>
          <w:tcPr>
            <w:tcW w:w="5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314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244E">
        <w:trPr>
          <w:trHeight w:val="559"/>
        </w:trPr>
        <w:tc>
          <w:tcPr>
            <w:tcW w:w="5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795"/>
        </w:trPr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44E" w:rsidRDefault="0038091E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44E" w:rsidRDefault="0038091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trHeight w:val="118"/>
        </w:trPr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1A244E" w:rsidRDefault="001A244E">
            <w:pPr>
              <w:ind w:left="347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single" w:sz="4" w:space="0" w:color="auto"/>
            </w:tcBorders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7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3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73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6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79" w:type="pct"/>
            <w:tcBorders>
              <w:top w:val="single" w:sz="4" w:space="0" w:color="auto"/>
            </w:tcBorders>
            <w:noWrap/>
            <w:vAlign w:val="bottom"/>
          </w:tcPr>
          <w:p w:rsidR="001A244E" w:rsidRDefault="001A244E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A244E">
        <w:trPr>
          <w:gridAfter w:val="18"/>
          <w:wAfter w:w="4018" w:type="pct"/>
          <w:trHeight w:val="255"/>
        </w:trPr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Ф. И. О. исполнителя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1A244E">
        <w:trPr>
          <w:gridAfter w:val="18"/>
          <w:wAfter w:w="4018" w:type="pct"/>
          <w:trHeight w:val="255"/>
        </w:trPr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1A244E">
        <w:trPr>
          <w:gridAfter w:val="18"/>
          <w:wAfter w:w="4018" w:type="pct"/>
          <w:trHeight w:val="255"/>
        </w:trPr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Контактный телефон исполнителя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1A244E">
        <w:trPr>
          <w:gridAfter w:val="18"/>
          <w:wAfter w:w="4018" w:type="pct"/>
          <w:trHeight w:val="255"/>
        </w:trPr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1A244E">
        <w:trPr>
          <w:gridAfter w:val="18"/>
          <w:wAfter w:w="4018" w:type="pct"/>
          <w:trHeight w:val="255"/>
        </w:trPr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Должность исполнителя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1A244E">
        <w:trPr>
          <w:gridAfter w:val="18"/>
          <w:wAfter w:w="4018" w:type="pct"/>
          <w:trHeight w:val="255"/>
        </w:trPr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244E" w:rsidRDefault="001A244E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1A244E">
        <w:trPr>
          <w:gridAfter w:val="18"/>
          <w:wAfter w:w="4018" w:type="pct"/>
          <w:trHeight w:val="255"/>
        </w:trPr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Адрес электронной почты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244E" w:rsidRDefault="0038091E">
            <w:pPr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</w:tbl>
    <w:p w:rsidR="001A244E" w:rsidRDefault="001A244E">
      <w:pPr>
        <w:rPr>
          <w:rFonts w:ascii="Garamond" w:hAnsi="Garamond"/>
          <w:b/>
          <w:iCs/>
          <w:sz w:val="26"/>
          <w:szCs w:val="26"/>
        </w:rPr>
      </w:pPr>
    </w:p>
    <w:p w:rsidR="001A244E" w:rsidRDefault="001A244E">
      <w:pPr>
        <w:rPr>
          <w:rFonts w:ascii="Garamond" w:hAnsi="Garamond"/>
          <w:b/>
          <w:iCs/>
          <w:sz w:val="26"/>
          <w:szCs w:val="26"/>
        </w:rPr>
      </w:pPr>
    </w:p>
    <w:p w:rsidR="001A244E" w:rsidRDefault="0038091E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29 к Договору о присоединении к торговой системе оптового рынка)</w:t>
      </w:r>
    </w:p>
    <w:p w:rsidR="001A244E" w:rsidRDefault="001A244E">
      <w:pPr>
        <w:keepNext/>
        <w:ind w:right="-296"/>
        <w:rPr>
          <w:rFonts w:ascii="Garamond" w:hAnsi="Garamond"/>
          <w:b/>
          <w:bCs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1A244E">
        <w:trPr>
          <w:trHeight w:val="435"/>
        </w:trPr>
        <w:tc>
          <w:tcPr>
            <w:tcW w:w="1008" w:type="dxa"/>
            <w:vAlign w:val="center"/>
          </w:tcPr>
          <w:p w:rsidR="001A244E" w:rsidRDefault="0038091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784" w:type="dxa"/>
            <w:vAlign w:val="center"/>
          </w:tcPr>
          <w:p w:rsidR="001A244E" w:rsidRDefault="0038091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A244E" w:rsidRDefault="0038091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1A244E" w:rsidRDefault="0038091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A244E" w:rsidRDefault="0038091E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1A244E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1, раздел 3, пункт 3.12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Default="0038091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3.12. Форма № 47А разделена на </w:t>
            </w:r>
            <w:r>
              <w:rPr>
                <w:rFonts w:ascii="Garamond" w:hAnsi="Garamond"/>
                <w:b/>
                <w:sz w:val="22"/>
                <w:szCs w:val="22"/>
              </w:rPr>
              <w:t>2 Блока</w:t>
            </w:r>
            <w:r>
              <w:rPr>
                <w:rFonts w:ascii="Garamond" w:hAnsi="Garamond"/>
                <w:sz w:val="22"/>
                <w:szCs w:val="22"/>
              </w:rPr>
              <w:t>:</w:t>
            </w:r>
          </w:p>
          <w:p w:rsidR="001A244E" w:rsidRDefault="0038091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–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Блок 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: «</w:t>
            </w:r>
            <w:r>
              <w:rPr>
                <w:rFonts w:ascii="Garamond" w:hAnsi="Garamond"/>
                <w:b/>
                <w:sz w:val="22"/>
                <w:szCs w:val="22"/>
              </w:rPr>
              <w:t>Группы потребителей»</w:t>
            </w:r>
          </w:p>
          <w:p w:rsidR="001A244E" w:rsidRDefault="0038091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Включает в себя информацию о расчетах по группам потребителей (строки, начиная со строки «участник оптового рынка – гарантирующий поставщик/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компания» по строку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«9.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Энергоснабжающие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организации (без учета предприятий Минобороны» включительно) и расчеты участника оптового рынка с сетевыми организациями по договорам купли-продажи электрической энергии в целях компенсации потерь – строки, начиная со строки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«10.</w:t>
            </w:r>
            <w:r>
              <w:rPr>
                <w:rFonts w:ascii="Garamond" w:hAnsi="Garamond"/>
                <w:sz w:val="22"/>
                <w:szCs w:val="22"/>
              </w:rPr>
              <w:t xml:space="preserve">Потери» по строку «в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потери прочие ТСО» включительно.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Default="0038091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3.12. Форма № 47А разделена на </w:t>
            </w:r>
            <w:r>
              <w:rPr>
                <w:rFonts w:ascii="Garamond" w:hAnsi="Garamond"/>
                <w:b/>
                <w:sz w:val="22"/>
                <w:szCs w:val="22"/>
              </w:rPr>
              <w:t>2 Блока</w:t>
            </w:r>
            <w:r>
              <w:rPr>
                <w:rFonts w:ascii="Garamond" w:hAnsi="Garamond"/>
                <w:sz w:val="22"/>
                <w:szCs w:val="22"/>
              </w:rPr>
              <w:t>:</w:t>
            </w:r>
          </w:p>
          <w:p w:rsidR="001A244E" w:rsidRDefault="0038091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–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Блок 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: «</w:t>
            </w:r>
            <w:r>
              <w:rPr>
                <w:rFonts w:ascii="Garamond" w:hAnsi="Garamond"/>
                <w:b/>
                <w:sz w:val="22"/>
                <w:szCs w:val="22"/>
              </w:rPr>
              <w:t>Группы потребителей»</w:t>
            </w:r>
          </w:p>
          <w:p w:rsidR="001A244E" w:rsidRDefault="0038091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Включает в себя информацию о расчетах по группам потребителей (строки, начиная со строки «участник оптового рынка – гарантирующий поставщик/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компания» по строку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«10.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Энергоснабжающие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организации (без учета предприятий Минобороны» включительно) и расчеты участника оптового рынка с сетевыми организациями по договорам купли-продажи электрической энергии в целях компенсации потерь – строки, начиная со строки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«11.</w:t>
            </w:r>
            <w:r>
              <w:rPr>
                <w:rFonts w:ascii="Garamond" w:hAnsi="Garamond"/>
                <w:sz w:val="22"/>
                <w:szCs w:val="22"/>
              </w:rPr>
              <w:t xml:space="preserve"> Потери» по строку «в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потери прочие ТСО» включительно.</w:t>
            </w:r>
          </w:p>
        </w:tc>
      </w:tr>
      <w:tr w:rsidR="001A244E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Приложение 1, раздел 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4</w:t>
            </w:r>
            <w:r>
              <w:rPr>
                <w:rFonts w:ascii="Garamond" w:hAnsi="Garamond"/>
                <w:b/>
                <w:sz w:val="22"/>
                <w:szCs w:val="22"/>
              </w:rPr>
              <w:t>, пункт 4.7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Default="0038091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4.7. При заполнении отчетной информации по строке «2. Непромышленные потребители» указывается величина, соответствующая сумме данных, указанных в строках «2. Непромышленные потребители» 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«8.</w:t>
            </w:r>
            <w:r>
              <w:rPr>
                <w:rFonts w:ascii="Garamond" w:hAnsi="Garamond"/>
                <w:sz w:val="22"/>
                <w:szCs w:val="22"/>
              </w:rPr>
              <w:t xml:space="preserve"> Потребители – Управляющие компании, ТСЖ, ЖСК и т.д., ВСЕГО» формы приложения № 47А.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Default="0038091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4.7. При заполнении отчетной информации по строке «2. Непромышленные потребители» указывается величина, соответствующая сумме данных, указанных в строках «2. Непромышленные потребители» 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>
              <w:rPr>
                <w:rFonts w:ascii="Garamond" w:hAnsi="Garamond"/>
                <w:sz w:val="22"/>
                <w:szCs w:val="22"/>
              </w:rPr>
              <w:t xml:space="preserve"> Потребители – Управляющие компании, ТСЖ, ЖСК и т.д., ВСЕГО» формы приложения № 47А.</w:t>
            </w:r>
          </w:p>
          <w:p w:rsidR="001A244E" w:rsidRDefault="001A244E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</w:tr>
      <w:tr w:rsidR="001A244E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Приложение 1, раздел 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4.8. При заполнении отчетной информации по строке «3. Бюджетные потребители» формы приложения №</w:t>
            </w:r>
            <w:r w:rsidR="00C74085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47 указывается величина, соответствующая сумме данных формы приложения № 47А, указанных в строках: 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- «6. Бюджетные потребители, ВСЕГО (без учета предприятий Минобороны России, ФГБУ «ЦЖКУ» Минобороны России и 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Оборонэнергосбыт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="00C74085">
              <w:rPr>
                <w:rFonts w:ascii="Garamond" w:hAnsi="Garamond"/>
                <w:sz w:val="22"/>
                <w:szCs w:val="22"/>
                <w:highlight w:val="yellow"/>
              </w:rPr>
              <w:t>)»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; 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- «3. Предприятия Минобороны России (без учета ФГБУ «ЦЖКУ» Минобороны России и 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Оборонэнергосбыт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»)»;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- «4. 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Оборонэнергосбыт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»;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- «5. ФГБУ «ЦЖКУ» Минобороны России».</w:t>
            </w:r>
          </w:p>
        </w:tc>
      </w:tr>
      <w:tr w:rsidR="001A244E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Default="0038091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1, раздел 6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«3.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Оборонэнергосбыт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».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«4. Предприятия Минобороны России».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«5. Бюджетные потребители (без учета предприятий Минобороны России)» включает в себя следующие группы потребителей: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5.1.</w:t>
            </w:r>
            <w:r>
              <w:rPr>
                <w:rFonts w:ascii="Garamond" w:hAnsi="Garamond"/>
                <w:sz w:val="22"/>
                <w:szCs w:val="22"/>
              </w:rPr>
              <w:t xml:space="preserve"> «из них: Федеральный бюджет (без учета предприятий Минобороны России)».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5.2.</w:t>
            </w:r>
            <w:r>
              <w:rPr>
                <w:rFonts w:ascii="Garamond" w:hAnsi="Garamond"/>
                <w:sz w:val="22"/>
                <w:szCs w:val="22"/>
              </w:rPr>
              <w:t xml:space="preserve"> «Прочие бюджеты (областной и местный бюджеты)».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…………………………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Если конечного потребителя можно одновременно отнести и к потребителям подгрупп «сферы ЖКХ» и к «Бюджетным потребителям», то данные по такому потребителю определяются по преобладающей доле финансирования данного потребителя на момент формирования отчета: т.е. потребители, имеющие преобладающий бюджетный источник финансирования заносятся в соответствующую подстроку строки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«5. Бюджетные потребители (без учета предприятий Минобороны России)»</w:t>
            </w:r>
            <w:r>
              <w:rPr>
                <w:rFonts w:ascii="Garamond" w:hAnsi="Garamond"/>
                <w:sz w:val="22"/>
                <w:szCs w:val="22"/>
              </w:rPr>
              <w:t>, а потребители, имеющие преобладающие нетарифные/иные источники финансирования – в строки «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8. Потребители – управляющие компании, ТСЖ, ЖСК и т.д., ВСЕГО»</w:t>
            </w:r>
            <w:r>
              <w:rPr>
                <w:rFonts w:ascii="Garamond" w:hAnsi="Garamond"/>
                <w:sz w:val="22"/>
                <w:szCs w:val="22"/>
              </w:rPr>
              <w:t xml:space="preserve"> или «2. Непромышленные потребители: Из них потребители ЖКХ, ВСЕГО».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«6.</w:t>
            </w:r>
            <w:r>
              <w:rPr>
                <w:rFonts w:ascii="Garamond" w:hAnsi="Garamond"/>
                <w:sz w:val="22"/>
                <w:szCs w:val="22"/>
              </w:rPr>
              <w:t xml:space="preserve"> Сельскохозяйственные товаропроизводители».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«7.</w:t>
            </w:r>
            <w:r>
              <w:rPr>
                <w:rFonts w:ascii="Garamond" w:hAnsi="Garamond"/>
                <w:sz w:val="22"/>
                <w:szCs w:val="22"/>
              </w:rPr>
              <w:t xml:space="preserve"> Население» включает в себя информацию о потребителях электроэнергии - физических лицах, с которыми у участника оптового рынка на момент формирования отчета существуют договорные отношения, а также о приравненных к населению группам потребителей (в соответствии с принятыми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РЭКами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, тарифно-балансовыми решениями).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«8.</w:t>
            </w:r>
            <w:r>
              <w:rPr>
                <w:rFonts w:ascii="Garamond" w:hAnsi="Garamond"/>
                <w:sz w:val="22"/>
                <w:szCs w:val="22"/>
              </w:rPr>
              <w:t xml:space="preserve"> Потребители – управляющие компании, ТСЖ, ЖСК и т.д., ВСЕГО» включает в себя сведения по Потребителям-исполнителям коммунальных услуг.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«9</w:t>
            </w:r>
            <w:r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Энергоснабжающие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организации (без учета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предприятий Минобороны России)» включает в себя сведения по: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–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Энергоснабжающим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организациям (организации, которые по характеру своей деятельности обязаны заключить договор, регулирующий поставку электрической энергии (мощности) на розничном рынке, с каждым, кто к ней обратится);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–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Энергосбытовым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организациям (организации, осуществляющие в качестве основного вида деятельности продажу другим лицам произведенной или приобретенной электрической энергии), а также сетевые организации, исполняющие функции сбытовых организаций (в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в неценовых зонах); Покупатели – перепродавцы.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«10.</w:t>
            </w:r>
            <w:r>
              <w:rPr>
                <w:rFonts w:ascii="Garamond" w:hAnsi="Garamond"/>
                <w:sz w:val="22"/>
                <w:szCs w:val="22"/>
              </w:rPr>
              <w:t xml:space="preserve"> Потери» включает в себя следующие подстроки: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10.1.</w:t>
            </w:r>
            <w:r>
              <w:rPr>
                <w:rFonts w:ascii="Garamond" w:hAnsi="Garamond"/>
                <w:sz w:val="22"/>
                <w:szCs w:val="22"/>
              </w:rPr>
              <w:t xml:space="preserve"> «в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потери МРСК» (потери, оплачиваемые региональной сетевой компанией – ДЗО ПАО «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Россети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» в адрес участника оптового рынка);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10.2.</w:t>
            </w:r>
            <w:r>
              <w:rPr>
                <w:rFonts w:ascii="Garamond" w:hAnsi="Garamond"/>
                <w:sz w:val="22"/>
                <w:szCs w:val="22"/>
              </w:rPr>
              <w:t xml:space="preserve"> «в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потери прочие ТСО» (потери, оплачиваемые прочими ТСО, не являющимися ДЗО ПАО «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Россети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» в адрес участника оптового рынка).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Строка «3.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Предприятия Минобороны РФ (без учета ФГБУ «ЦЖКУ» Минобороны России и 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Оборонэнергосбыт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»)».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shd w:val="clear" w:color="auto" w:fill="FFFFFF" w:themeFill="background1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. 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Оборонэнергосбыт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».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Строка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 ФГБУ «ЦЖКУ» Минобороны России». 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6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. Бюджетные потребители, ВСЕГО (без учета предприятий Минобороны России, ФГБУ «ЦЖКУ» Минобороны России и 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Оборонэнергосбыт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»)» включает в себя следующие группы потребителей: 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6.1. </w:t>
            </w:r>
            <w:r>
              <w:rPr>
                <w:rFonts w:ascii="Garamond" w:hAnsi="Garamond"/>
                <w:sz w:val="22"/>
                <w:szCs w:val="22"/>
              </w:rPr>
              <w:t>«из них: Федеральный бюджет (без учета предприятий Минобороны России)».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6.2. </w:t>
            </w:r>
            <w:r>
              <w:rPr>
                <w:rFonts w:ascii="Garamond" w:hAnsi="Garamond"/>
                <w:sz w:val="22"/>
                <w:szCs w:val="22"/>
              </w:rPr>
              <w:t>«Прочие бюджеты (областной и местный бюджеты)».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……………………………….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Если конечного потребителя можно одновременно отнести и к потребителям подгрупп «сферы ЖКХ» и к «Бюджетным потребителям», то данные по такому потребителю определяются по преобладающей доле финансирования данного потребителя на момент формирования отчета: т.е. потребители, имеющие преобладающий бюджетный источник финансирования заносятся в соответствующую подстроку строки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«6. Бюджетные потребители, ВСЕГО (без учета предприятий Минобороны России, ФГБУ «ЦЖКУ» Минобороны России и АО «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Оборонэнергосбыт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»)»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а потребители, имеющие преобладающие нетарифные/иные источники финансирования – в строки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«9. Потребители – управляющие компании, ТСЖ, ЖСК и т.д., ВСЕГО» </w:t>
            </w:r>
            <w:r>
              <w:rPr>
                <w:rFonts w:ascii="Garamond" w:hAnsi="Garamond"/>
                <w:sz w:val="22"/>
                <w:szCs w:val="22"/>
              </w:rPr>
              <w:t>или «2. Непромышленные потребители: Из них потребители ЖКХ, ВСЕГО».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Garamond" w:hAnsi="Garamond"/>
                <w:sz w:val="22"/>
                <w:szCs w:val="22"/>
              </w:rPr>
              <w:t>Сельскохозяйственные товаропроизводители».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Garamond" w:hAnsi="Garamond"/>
                <w:sz w:val="22"/>
                <w:szCs w:val="22"/>
              </w:rPr>
              <w:t xml:space="preserve">Население» включает в себя информацию о потребителях электроэнергии - физических лицах, с которыми у участника оптового рынка на момент формирования отчета существуют договорные отношения, а также о приравненных к населению группам потребителей (в соответствии с принятыми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РЭКами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, тарифно-балансовыми решениями).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Garamond" w:hAnsi="Garamond"/>
                <w:sz w:val="22"/>
                <w:szCs w:val="22"/>
              </w:rPr>
              <w:t>Потребители – управляющие компании, ТСЖ, ЖСК и т.д., ВСЕГО» включает в себя сведения по Потребителям-исполнителям коммунальных услуг.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Энергоснабжающие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организации (без учета предприятий Минобороны России)» включает в себя сведения по: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–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Энергоснабжающим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организациям (организации, которые по характеру своей деятельности обязаны заключить договор, регулирующий поставку электрической энергии (мощности) на розничном рынке, с каждым, кто к ней обратится);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–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Энергосбытовым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организациям (организации, осуществляющие в качестве основного вида деятельности продажу другим лицам произведенной или приобретенной электрической энергии), а также сетевые организации, исполняющие функции сбытовых организаций (в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в неценовых зонах); Покупа</w:t>
            </w:r>
            <w:bookmarkStart w:id="0" w:name="_GoBack"/>
            <w:bookmarkEnd w:id="0"/>
            <w:r>
              <w:rPr>
                <w:rFonts w:ascii="Garamond" w:hAnsi="Garamond"/>
                <w:sz w:val="22"/>
                <w:szCs w:val="22"/>
              </w:rPr>
              <w:t>тели – перепродавцы.</w:t>
            </w:r>
          </w:p>
          <w:p w:rsidR="001A244E" w:rsidRDefault="0038091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Строка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Garamond" w:hAnsi="Garamond"/>
                <w:sz w:val="22"/>
                <w:szCs w:val="22"/>
              </w:rPr>
              <w:t>Потери» включает в себя следующие подстроки: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.1. </w:t>
            </w:r>
            <w:r>
              <w:rPr>
                <w:rFonts w:ascii="Garamond" w:hAnsi="Garamond"/>
                <w:sz w:val="22"/>
                <w:szCs w:val="22"/>
              </w:rPr>
              <w:t xml:space="preserve">«в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потери МРСК» (потери, оплачиваемые региональной сетевой компанией – ДЗО ПАО «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Россети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» в адрес участника оптового рынка);</w:t>
            </w:r>
          </w:p>
          <w:p w:rsidR="001A244E" w:rsidRDefault="0038091E">
            <w:pPr>
              <w:widowControl w:val="0"/>
              <w:spacing w:before="120" w:after="120"/>
              <w:ind w:firstLine="360"/>
              <w:jc w:val="both"/>
              <w:rPr>
                <w:rFonts w:ascii="Garamond" w:hAnsi="Garamond"/>
                <w:sz w:val="22"/>
                <w:szCs w:val="22"/>
              </w:rPr>
            </w:pPr>
            <w:r w:rsidRPr="005C1688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.2. </w:t>
            </w:r>
            <w:r>
              <w:rPr>
                <w:rFonts w:ascii="Garamond" w:hAnsi="Garamond"/>
                <w:sz w:val="22"/>
                <w:szCs w:val="22"/>
              </w:rPr>
              <w:t xml:space="preserve">«в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потери прочие ТСО» (потери, оплачиваемые прочими ТСО, не являющимися ДЗО ПАО «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Россети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» в адрес участника оптового рынка).</w:t>
            </w:r>
          </w:p>
        </w:tc>
      </w:tr>
    </w:tbl>
    <w:p w:rsidR="001A244E" w:rsidRDefault="001A244E">
      <w:pPr>
        <w:rPr>
          <w:rFonts w:ascii="Garamond" w:hAnsi="Garamond"/>
          <w:b/>
          <w:iCs/>
          <w:sz w:val="26"/>
          <w:szCs w:val="26"/>
        </w:rPr>
      </w:pPr>
    </w:p>
    <w:sectPr w:rsidR="001A244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1"/>
    <w:family w:val="roman"/>
    <w:notTrueType/>
    <w:pitch w:val="variable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21D28"/>
    <w:multiLevelType w:val="hybridMultilevel"/>
    <w:tmpl w:val="6B3ECC62"/>
    <w:lvl w:ilvl="0" w:tplc="FFFFFFFF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111F1766"/>
    <w:multiLevelType w:val="multilevel"/>
    <w:tmpl w:val="F29E5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66B28D6"/>
    <w:multiLevelType w:val="hybridMultilevel"/>
    <w:tmpl w:val="CDF6E052"/>
    <w:styleLink w:val="1111111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D725E6"/>
    <w:multiLevelType w:val="hybridMultilevel"/>
    <w:tmpl w:val="F21E0230"/>
    <w:lvl w:ilvl="0" w:tplc="5F7814C2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9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9EB5D48"/>
    <w:multiLevelType w:val="hybridMultilevel"/>
    <w:tmpl w:val="D076F3FA"/>
    <w:lvl w:ilvl="0" w:tplc="04190001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9B6264"/>
    <w:multiLevelType w:val="hybridMultilevel"/>
    <w:tmpl w:val="9FC0156A"/>
    <w:lvl w:ilvl="0" w:tplc="4482B3E6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86A5E9B"/>
    <w:multiLevelType w:val="hybridMultilevel"/>
    <w:tmpl w:val="6896AF44"/>
    <w:lvl w:ilvl="0" w:tplc="FFFFFFFF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B7926"/>
    <w:multiLevelType w:val="multilevel"/>
    <w:tmpl w:val="2A22AC6A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pStyle w:val="31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6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7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75CA0918"/>
    <w:multiLevelType w:val="hybridMultilevel"/>
    <w:tmpl w:val="D500F8A4"/>
    <w:lvl w:ilvl="0" w:tplc="2C320992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6"/>
  </w:num>
  <w:num w:numId="5">
    <w:abstractNumId w:val="13"/>
  </w:num>
  <w:num w:numId="6">
    <w:abstractNumId w:val="5"/>
  </w:num>
  <w:num w:numId="7">
    <w:abstractNumId w:val="10"/>
  </w:num>
  <w:num w:numId="8">
    <w:abstractNumId w:val="12"/>
  </w:num>
  <w:num w:numId="9">
    <w:abstractNumId w:val="14"/>
  </w:num>
  <w:num w:numId="10">
    <w:abstractNumId w:val="8"/>
  </w:num>
  <w:num w:numId="11">
    <w:abstractNumId w:val="1"/>
  </w:num>
  <w:num w:numId="12">
    <w:abstractNumId w:val="3"/>
  </w:num>
  <w:num w:numId="13">
    <w:abstractNumId w:val="0"/>
    <w:lvlOverride w:ilvl="0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"/>
  </w:num>
  <w:num w:numId="17">
    <w:abstractNumId w:val="9"/>
  </w:num>
  <w:num w:numId="18">
    <w:abstractNumId w:val="16"/>
  </w:num>
  <w:num w:numId="1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4E"/>
    <w:rsid w:val="001A244E"/>
    <w:rsid w:val="0038091E"/>
    <w:rsid w:val="005C1688"/>
    <w:rsid w:val="00C7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927FB-0C27-436F-BC20-7D960AE6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параграфа (1.),Section,level2 hdg,111"/>
    <w:basedOn w:val="a3"/>
    <w:link w:val="110"/>
    <w:autoRedefine/>
    <w:qFormat/>
    <w:pPr>
      <w:keepNext/>
      <w:numPr>
        <w:numId w:val="1"/>
      </w:numPr>
      <w:spacing w:before="120" w:after="120"/>
      <w:jc w:val="center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20">
    <w:name w:val="heading 2"/>
    <w:aliases w:val="h2,h21,5,Заголовок пункта (1.1),Reset numbering,222"/>
    <w:basedOn w:val="a3"/>
    <w:next w:val="31"/>
    <w:link w:val="21"/>
    <w:qFormat/>
    <w:pPr>
      <w:keepNext/>
      <w:spacing w:before="180" w:after="180"/>
      <w:jc w:val="both"/>
      <w:outlineLvl w:val="1"/>
    </w:pPr>
    <w:rPr>
      <w:b/>
      <w:szCs w:val="20"/>
      <w:lang w:val="en-GB" w:eastAsia="en-US"/>
    </w:rPr>
  </w:style>
  <w:style w:type="paragraph" w:styleId="31">
    <w:name w:val="heading 3"/>
    <w:aliases w:val="H3,Заголовок подпукта (1.1.1),Level 1 - 1,o"/>
    <w:basedOn w:val="a3"/>
    <w:link w:val="310"/>
    <w:autoRedefine/>
    <w:qFormat/>
    <w:pPr>
      <w:widowControl w:val="0"/>
      <w:numPr>
        <w:ilvl w:val="1"/>
        <w:numId w:val="1"/>
      </w:numPr>
      <w:spacing w:before="120" w:after="120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paragraph" w:styleId="40">
    <w:name w:val="heading 4"/>
    <w:aliases w:val="H4,H41,Sub-Minor,Level 2 - a"/>
    <w:basedOn w:val="a3"/>
    <w:link w:val="41"/>
    <w:qFormat/>
    <w:pPr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1">
    <w:name w:val="heading 5"/>
    <w:aliases w:val="h5,h51,H5,H51,h52,test,Block Label,Level 3 - i"/>
    <w:basedOn w:val="a3"/>
    <w:link w:val="52"/>
    <w:qFormat/>
    <w:pPr>
      <w:spacing w:before="120" w:after="120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3"/>
    <w:next w:val="51"/>
    <w:link w:val="62"/>
    <w:qFormat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3"/>
    <w:next w:val="a3"/>
    <w:link w:val="70"/>
    <w:qFormat/>
    <w:pPr>
      <w:spacing w:before="180" w:after="2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3"/>
    <w:next w:val="a3"/>
    <w:link w:val="82"/>
    <w:qFormat/>
    <w:p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3"/>
    <w:next w:val="a3"/>
    <w:link w:val="92"/>
    <w:qFormat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Pr>
      <w:color w:val="0000FF"/>
      <w:u w:val="single"/>
    </w:rPr>
  </w:style>
  <w:style w:type="paragraph" w:styleId="a8">
    <w:name w:val="List Paragraph"/>
    <w:basedOn w:val="a3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aliases w:val="body text"/>
    <w:basedOn w:val="a3"/>
    <w:link w:val="12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a">
    <w:name w:val="Основной текст Знак"/>
    <w:basedOn w:val="a4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aliases w:val="body text Знак"/>
    <w:link w:val="a9"/>
    <w:rPr>
      <w:rFonts w:ascii="Times New Roman" w:eastAsia="Times New Roman" w:hAnsi="Times New Roman" w:cs="Times New Roman"/>
      <w:szCs w:val="20"/>
      <w:lang w:val="en-GB"/>
    </w:rPr>
  </w:style>
  <w:style w:type="paragraph" w:styleId="ab">
    <w:name w:val="endnote text"/>
    <w:basedOn w:val="a3"/>
    <w:link w:val="ac"/>
    <w:semiHidden/>
    <w:rPr>
      <w:sz w:val="20"/>
      <w:szCs w:val="20"/>
    </w:rPr>
  </w:style>
  <w:style w:type="character" w:customStyle="1" w:styleId="ac">
    <w:name w:val="Текст концевой сноски Знак"/>
    <w:basedOn w:val="a4"/>
    <w:link w:val="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link w:val="Bodytext2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20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paragraph" w:customStyle="1" w:styleId="Bodytext21">
    <w:name w:val="Body text (2)1"/>
    <w:basedOn w:val="a3"/>
    <w:link w:val="Bodytext2"/>
    <w:pPr>
      <w:shd w:val="clear" w:color="auto" w:fill="FFFFFF"/>
      <w:spacing w:after="240" w:line="240" w:lineRule="atLeast"/>
      <w:ind w:hanging="360"/>
      <w:jc w:val="both"/>
    </w:pPr>
    <w:rPr>
      <w:rFonts w:ascii="Garamond" w:eastAsiaTheme="minorHAnsi" w:hAnsi="Garamond" w:cstheme="minorBidi"/>
      <w:sz w:val="18"/>
      <w:szCs w:val="18"/>
      <w:shd w:val="clear" w:color="auto" w:fill="FFFFFF"/>
      <w:lang w:eastAsia="en-US"/>
    </w:rPr>
  </w:style>
  <w:style w:type="paragraph" w:styleId="ad">
    <w:name w:val="Balloon Text"/>
    <w:basedOn w:val="a3"/>
    <w:link w:val="ae"/>
    <w:semiHidden/>
    <w:unhideWhenUsed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4"/>
    <w:link w:val="a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3">
    <w:name w:val="Заголовок 1 Знак"/>
    <w:aliases w:val="Заголовок параграфа (1.) Знак,Section Знак,level2 hdg Знак,111 Знак Знак,111 Знак,Section Heading Знак,level2 hdg Знак Знак"/>
    <w:basedOn w:val="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aliases w:val="h2 Знак,h21 Знак,5 Знак,Заголовок пункта (1.1) Знак,Reset numbering Знак,222 Знак"/>
    <w:basedOn w:val="a4"/>
    <w:link w:val="2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3">
    <w:name w:val="Заголовок 3 Знак"/>
    <w:aliases w:val="o Знак"/>
    <w:basedOn w:val="a4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Pr>
      <w:rFonts w:ascii="Times New Roman" w:eastAsia="Times New Roman" w:hAnsi="Times New Roman" w:cs="Times New Roman"/>
      <w:szCs w:val="20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4"/>
    <w:link w:val="51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aliases w:val="Legal Level 1.1.1.1. Знак"/>
    <w:basedOn w:val="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110">
    <w:name w:val="Заголовок 1 Знак1"/>
    <w:aliases w:val="Заголовок параграфа (1.) Знак1,Section Знак1,level2 hdg Знак1,111 Знак1"/>
    <w:link w:val="10"/>
    <w:rPr>
      <w:rFonts w:ascii="Garamond" w:eastAsia="Times New Roman" w:hAnsi="Garamond" w:cs="Garamond"/>
      <w:b/>
      <w:caps/>
      <w:color w:val="000000"/>
      <w:kern w:val="28"/>
    </w:rPr>
  </w:style>
  <w:style w:type="paragraph" w:customStyle="1" w:styleId="af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">
    <w:name w:val="Заголовок 6 Знак2"/>
    <w:aliases w:val="Legal Level 1. Знак2"/>
    <w:link w:val="6"/>
    <w:locked/>
    <w:rPr>
      <w:rFonts w:ascii="Times New Roman" w:eastAsia="Times New Roman" w:hAnsi="Times New Roman" w:cs="Times New Roman"/>
      <w:szCs w:val="20"/>
    </w:rPr>
  </w:style>
  <w:style w:type="character" w:customStyle="1" w:styleId="82">
    <w:name w:val="Заголовок 8 Знак2"/>
    <w:aliases w:val="Legal Level 1.1.1. Знак2"/>
    <w:link w:val="8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2">
    <w:name w:val="Заголовок 9 Знак2"/>
    <w:aliases w:val="Legal Level 1.1.1.1. Знак2"/>
    <w:link w:val="9"/>
    <w:rPr>
      <w:rFonts w:ascii="Arial" w:eastAsia="Times New Roman" w:hAnsi="Arial" w:cs="Times New Roman"/>
      <w:i/>
      <w:sz w:val="18"/>
      <w:szCs w:val="20"/>
      <w:lang w:val="en-GB"/>
    </w:rPr>
  </w:style>
  <w:style w:type="paragraph" w:styleId="af0">
    <w:name w:val="Normal Indent"/>
    <w:basedOn w:val="a3"/>
    <w:pPr>
      <w:spacing w:before="180" w:after="60"/>
      <w:ind w:left="851"/>
    </w:pPr>
    <w:rPr>
      <w:rFonts w:ascii="Garamond" w:hAnsi="Garamond"/>
      <w:shadow/>
      <w:sz w:val="22"/>
      <w:szCs w:val="20"/>
      <w:lang w:val="en-GB" w:eastAsia="en-US"/>
    </w:rPr>
  </w:style>
  <w:style w:type="paragraph" w:styleId="34">
    <w:name w:val="toc 3"/>
    <w:basedOn w:val="a3"/>
    <w:next w:val="a3"/>
    <w:semiHidden/>
    <w:pPr>
      <w:ind w:left="440"/>
    </w:pPr>
    <w:rPr>
      <w:i/>
      <w:sz w:val="20"/>
      <w:szCs w:val="20"/>
      <w:lang w:val="en-GB" w:eastAsia="en-US"/>
    </w:rPr>
  </w:style>
  <w:style w:type="paragraph" w:customStyle="1" w:styleId="subclauseindent">
    <w:name w:val="subclauseindent"/>
    <w:basedOn w:val="a3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customStyle="1" w:styleId="subsubclauseindent">
    <w:name w:val="subsubclauseindent"/>
    <w:basedOn w:val="a3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3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character" w:customStyle="1" w:styleId="35">
    <w:name w:val="Основной текст Знак3"/>
    <w:aliases w:val="body text Знак2"/>
    <w:rPr>
      <w:sz w:val="22"/>
      <w:lang w:val="en-GB" w:eastAsia="en-US" w:bidi="ar-SA"/>
    </w:rPr>
  </w:style>
  <w:style w:type="paragraph" w:customStyle="1" w:styleId="Definition">
    <w:name w:val="Definition"/>
    <w:basedOn w:val="a3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3"/>
    <w:next w:val="31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4">
    <w:name w:val="toc 1"/>
    <w:basedOn w:val="a3"/>
    <w:next w:val="a3"/>
    <w:semiHidden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2">
    <w:name w:val="toc 2"/>
    <w:basedOn w:val="a3"/>
    <w:next w:val="a3"/>
    <w:semiHidden/>
    <w:pPr>
      <w:ind w:left="220"/>
    </w:pPr>
    <w:rPr>
      <w:smallCaps/>
      <w:sz w:val="20"/>
      <w:szCs w:val="20"/>
      <w:lang w:val="en-GB" w:eastAsia="en-US"/>
    </w:rPr>
  </w:style>
  <w:style w:type="paragraph" w:styleId="42">
    <w:name w:val="toc 4"/>
    <w:basedOn w:val="a3"/>
    <w:next w:val="a3"/>
    <w:semiHidden/>
    <w:pPr>
      <w:ind w:left="660"/>
    </w:pPr>
    <w:rPr>
      <w:sz w:val="18"/>
      <w:szCs w:val="20"/>
      <w:lang w:val="en-GB" w:eastAsia="en-US"/>
    </w:rPr>
  </w:style>
  <w:style w:type="paragraph" w:styleId="53">
    <w:name w:val="toc 5"/>
    <w:basedOn w:val="a3"/>
    <w:next w:val="a3"/>
    <w:semiHidden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3"/>
    <w:next w:val="a3"/>
    <w:semiHidden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3"/>
    <w:next w:val="a3"/>
    <w:semiHidden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3"/>
    <w:next w:val="a3"/>
    <w:semiHidden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3"/>
    <w:next w:val="a3"/>
    <w:semiHidden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3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1">
    <w:name w:val="List Number"/>
    <w:basedOn w:val="a3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f2">
    <w:name w:val="page number"/>
    <w:basedOn w:val="a4"/>
  </w:style>
  <w:style w:type="paragraph" w:customStyle="1" w:styleId="subsubsubclauseindent">
    <w:name w:val="subsubsubclauseindent"/>
    <w:basedOn w:val="a3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4">
    <w:name w:val="List Number 5"/>
    <w:basedOn w:val="a3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3">
    <w:name w:val="List Bullet"/>
    <w:basedOn w:val="a3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23">
    <w:name w:val="Body Text 2"/>
    <w:basedOn w:val="a3"/>
    <w:link w:val="220"/>
    <w:pPr>
      <w:ind w:left="851"/>
      <w:jc w:val="both"/>
    </w:pPr>
    <w:rPr>
      <w:szCs w:val="20"/>
      <w:lang w:val="x-none" w:eastAsia="en-US"/>
    </w:rPr>
  </w:style>
  <w:style w:type="character" w:customStyle="1" w:styleId="24">
    <w:name w:val="Основной текст 2 Знак"/>
    <w:basedOn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3"/>
    <w:link w:val="15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f5">
    <w:name w:val="Верхний колонтитул Знак"/>
    <w:basedOn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Верхний колонтитул Знак1"/>
    <w:link w:val="af4"/>
    <w:rPr>
      <w:rFonts w:ascii="Garamond" w:eastAsia="Times New Roman" w:hAnsi="Garamond" w:cs="Times New Roman"/>
      <w:szCs w:val="20"/>
      <w:lang w:val="en-GB"/>
    </w:rPr>
  </w:style>
  <w:style w:type="paragraph" w:styleId="af6">
    <w:name w:val="footer"/>
    <w:basedOn w:val="a3"/>
    <w:link w:val="16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f7">
    <w:name w:val="Нижний колонтитул Знак"/>
    <w:basedOn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"/>
    <w:link w:val="af6"/>
    <w:rPr>
      <w:rFonts w:ascii="Garamond" w:eastAsia="Times New Roman" w:hAnsi="Garamond" w:cs="Times New Roman"/>
      <w:szCs w:val="20"/>
      <w:lang w:val="en-GB"/>
    </w:rPr>
  </w:style>
  <w:style w:type="paragraph" w:styleId="36">
    <w:name w:val="List Bullet 3"/>
    <w:basedOn w:val="a3"/>
    <w:autoRedefine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paragraph" w:styleId="af8">
    <w:name w:val="Body Text Indent"/>
    <w:basedOn w:val="a3"/>
    <w:link w:val="25"/>
    <w:pPr>
      <w:ind w:left="1080"/>
    </w:pPr>
    <w:rPr>
      <w:lang w:eastAsia="en-US"/>
    </w:rPr>
  </w:style>
  <w:style w:type="character" w:customStyle="1" w:styleId="af9">
    <w:name w:val="Основной текст с отступом Знак"/>
    <w:basedOn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Знак2"/>
    <w:link w:val="af8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footnote text"/>
    <w:basedOn w:val="a3"/>
    <w:link w:val="17"/>
    <w:semiHidden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afb">
    <w:name w:val="Текст сноски Знак"/>
    <w:basedOn w:val="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Текст сноски Знак1"/>
    <w:link w:val="afa"/>
    <w:semiHidden/>
    <w:locked/>
    <w:rPr>
      <w:rFonts w:ascii="Garamond" w:eastAsia="Times New Roman" w:hAnsi="Garamond" w:cs="Times New Roman"/>
      <w:sz w:val="20"/>
      <w:szCs w:val="20"/>
      <w:lang w:val="en-GB"/>
    </w:rPr>
  </w:style>
  <w:style w:type="character" w:styleId="afc">
    <w:name w:val="footnote reference"/>
    <w:semiHidden/>
    <w:rPr>
      <w:vertAlign w:val="superscript"/>
    </w:rPr>
  </w:style>
  <w:style w:type="character" w:styleId="afd">
    <w:name w:val="endnote reference"/>
    <w:semiHidden/>
    <w:rPr>
      <w:vertAlign w:val="superscript"/>
    </w:rPr>
  </w:style>
  <w:style w:type="paragraph" w:styleId="afe">
    <w:name w:val="caption"/>
    <w:basedOn w:val="a3"/>
    <w:next w:val="a3"/>
    <w:qFormat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43">
    <w:name w:val="List Number 4"/>
    <w:basedOn w:val="a3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3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">
    <w:name w:val="Простой"/>
    <w:basedOn w:val="a3"/>
    <w:rPr>
      <w:rFonts w:ascii="Arial" w:hAnsi="Arial" w:cs="Arial"/>
      <w:spacing w:val="-5"/>
      <w:sz w:val="20"/>
      <w:szCs w:val="20"/>
    </w:rPr>
  </w:style>
  <w:style w:type="paragraph" w:styleId="26">
    <w:name w:val="Body Text Indent 2"/>
    <w:basedOn w:val="a3"/>
    <w:link w:val="221"/>
    <w:autoRedefine/>
    <w:pPr>
      <w:tabs>
        <w:tab w:val="num" w:pos="360"/>
      </w:tabs>
      <w:spacing w:before="120" w:line="240" w:lineRule="atLeast"/>
      <w:ind w:left="360" w:hanging="360"/>
    </w:pPr>
    <w:rPr>
      <w:rFonts w:ascii="Arial" w:hAnsi="Arial"/>
      <w:i/>
      <w:iCs/>
      <w:sz w:val="20"/>
      <w:szCs w:val="20"/>
    </w:rPr>
  </w:style>
  <w:style w:type="character" w:customStyle="1" w:styleId="27">
    <w:name w:val="Основной текст с отступом 2 Знак"/>
    <w:basedOn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1">
    <w:name w:val="Основной текст с отступом 2 Знак2"/>
    <w:link w:val="26"/>
    <w:locked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8">
    <w:name w:val="Нумерованный список 1"/>
    <w:basedOn w:val="a3"/>
    <w:autoRedefine/>
    <w:pPr>
      <w:spacing w:before="120"/>
      <w:jc w:val="both"/>
    </w:pPr>
    <w:rPr>
      <w:sz w:val="22"/>
    </w:rPr>
  </w:style>
  <w:style w:type="paragraph" w:styleId="37">
    <w:name w:val="Body Text Indent 3"/>
    <w:basedOn w:val="a3"/>
    <w:link w:val="320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38">
    <w:name w:val="Основной текст с отступом 3 Знак"/>
    <w:basedOn w:val="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0">
    <w:name w:val="Основной текст с отступом 3 Знак2"/>
    <w:link w:val="37"/>
    <w:rPr>
      <w:rFonts w:ascii="Times New Roman" w:eastAsia="Times New Roman" w:hAnsi="Times New Roman" w:cs="Times New Roman"/>
      <w:i/>
      <w:iCs/>
      <w:szCs w:val="20"/>
    </w:rPr>
  </w:style>
  <w:style w:type="paragraph" w:styleId="44">
    <w:name w:val="List Bullet 4"/>
    <w:basedOn w:val="a3"/>
    <w:autoRedefine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3"/>
    <w:next w:val="a3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f0"/>
    <w:next w:val="10"/>
    <w:rPr>
      <w:rFonts w:ascii="Arial" w:hAnsi="Arial"/>
      <w:b w:val="0"/>
      <w:i/>
      <w:caps w:val="0"/>
      <w:sz w:val="28"/>
    </w:rPr>
  </w:style>
  <w:style w:type="paragraph" w:styleId="aff0">
    <w:name w:val="Subtitle"/>
    <w:basedOn w:val="aff1"/>
    <w:next w:val="a3"/>
    <w:link w:val="19"/>
    <w:qFormat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2">
    <w:name w:val="Подзаголовок Знак"/>
    <w:basedOn w:val="a4"/>
    <w:rPr>
      <w:rFonts w:eastAsiaTheme="minorEastAsia"/>
      <w:color w:val="5A5A5A" w:themeColor="text1" w:themeTint="A5"/>
      <w:spacing w:val="15"/>
      <w:lang w:eastAsia="ru-RU"/>
    </w:rPr>
  </w:style>
  <w:style w:type="paragraph" w:styleId="aff1">
    <w:name w:val="Title"/>
    <w:basedOn w:val="HeadingBase"/>
    <w:next w:val="aff0"/>
    <w:link w:val="1a"/>
    <w:qFormat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3">
    <w:name w:val="Название Знак"/>
    <w:basedOn w:val="a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a">
    <w:name w:val="Название Знак1"/>
    <w:link w:val="aff1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character" w:customStyle="1" w:styleId="19">
    <w:name w:val="Подзаголовок Знак1"/>
    <w:link w:val="aff0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customStyle="1" w:styleId="List1">
    <w:name w:val="List1"/>
    <w:basedOn w:val="a3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3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3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0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b">
    <w:name w:val="Заголовок оглавления1"/>
    <w:basedOn w:val="10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">
    <w:name w:val="TableNormal"/>
    <w:basedOn w:val="aff"/>
    <w:pPr>
      <w:keepLines/>
      <w:spacing w:before="120"/>
    </w:pPr>
    <w:rPr>
      <w:rFonts w:cs="Times New Roman"/>
    </w:rPr>
  </w:style>
  <w:style w:type="paragraph" w:styleId="aff4">
    <w:name w:val="annotation text"/>
    <w:basedOn w:val="a3"/>
    <w:link w:val="1c"/>
    <w:semiHidden/>
    <w:rPr>
      <w:sz w:val="20"/>
      <w:szCs w:val="20"/>
    </w:rPr>
  </w:style>
  <w:style w:type="character" w:customStyle="1" w:styleId="aff5">
    <w:name w:val="Текст примечания Знак"/>
    <w:basedOn w:val="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кст примечания Знак1"/>
    <w:link w:val="aff4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9">
    <w:name w:val="Body Text 3"/>
    <w:basedOn w:val="a3"/>
    <w:link w:val="321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3a">
    <w:name w:val="Основной текст 3 Знак"/>
    <w:basedOn w:val="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1">
    <w:name w:val="Основной текст 3 Знак2"/>
    <w:link w:val="39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6">
    <w:name w:val="FollowedHyperlink"/>
    <w:rPr>
      <w:color w:val="800080"/>
      <w:u w:val="single"/>
    </w:rPr>
  </w:style>
  <w:style w:type="paragraph" w:customStyle="1" w:styleId="Normal1">
    <w:name w:val="Normal1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">
    <w:name w:val="заголовок 3"/>
    <w:basedOn w:val="a3"/>
    <w:next w:val="a3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7">
    <w:name w:val="Обычный без отступа по центру"/>
    <w:basedOn w:val="a3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8">
    <w:name w:val="Emphasis"/>
    <w:qFormat/>
    <w:rPr>
      <w:i/>
      <w:iCs/>
    </w:rPr>
  </w:style>
  <w:style w:type="paragraph" w:styleId="aff9">
    <w:name w:val="Plain Text"/>
    <w:basedOn w:val="a3"/>
    <w:link w:val="28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a">
    <w:name w:val="Текст Знак"/>
    <w:basedOn w:val="a4"/>
    <w:rPr>
      <w:rFonts w:ascii="Consolas" w:eastAsia="Times New Roman" w:hAnsi="Consolas" w:cs="Consolas"/>
      <w:sz w:val="21"/>
      <w:szCs w:val="21"/>
      <w:lang w:eastAsia="ru-RU"/>
    </w:rPr>
  </w:style>
  <w:style w:type="character" w:styleId="affb">
    <w:name w:val="annotation reference"/>
    <w:semiHidden/>
    <w:rPr>
      <w:sz w:val="16"/>
      <w:szCs w:val="16"/>
    </w:rPr>
  </w:style>
  <w:style w:type="paragraph" w:styleId="affc">
    <w:name w:val="annotation subject"/>
    <w:basedOn w:val="aff4"/>
    <w:next w:val="aff4"/>
    <w:link w:val="1d"/>
    <w:semiHidden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d">
    <w:name w:val="Тема примечания Знак"/>
    <w:basedOn w:val="af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rPr>
      <w:sz w:val="22"/>
      <w:lang w:val="en-GB" w:eastAsia="en-US" w:bidi="ar-SA"/>
    </w:rPr>
  </w:style>
  <w:style w:type="paragraph" w:styleId="affe">
    <w:name w:val="Document Map"/>
    <w:basedOn w:val="a3"/>
    <w:link w:val="29"/>
    <w:semiHidden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f">
    <w:name w:val="Схема документа Знак"/>
    <w:basedOn w:val="a4"/>
    <w:semiHidden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0">
    <w:name w:val="Strong"/>
    <w:qFormat/>
    <w:rPr>
      <w:b/>
      <w:bCs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styleId="HTML">
    <w:name w:val="HTML Preformatted"/>
    <w:basedOn w:val="a3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rPr>
      <w:rFonts w:ascii="Consolas" w:eastAsia="Times New Roman" w:hAnsi="Consolas" w:cs="Consolas"/>
      <w:sz w:val="20"/>
      <w:szCs w:val="20"/>
      <w:lang w:eastAsia="ru-RU"/>
    </w:rPr>
  </w:style>
  <w:style w:type="table" w:styleId="afff1">
    <w:name w:val="Table Grid"/>
    <w:basedOn w:val="a5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Стиль2"/>
    <w:basedOn w:val="2b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b">
    <w:name w:val="List Number 2"/>
    <w:basedOn w:val="a3"/>
    <w:pPr>
      <w:tabs>
        <w:tab w:val="num" w:pos="357"/>
      </w:tabs>
      <w:spacing w:before="180" w:after="60"/>
      <w:ind w:left="720" w:hanging="720"/>
    </w:pPr>
    <w:rPr>
      <w:rFonts w:ascii="Garamond" w:hAnsi="Garamond"/>
      <w:sz w:val="22"/>
      <w:szCs w:val="20"/>
      <w:lang w:val="en-GB" w:eastAsia="en-US"/>
    </w:rPr>
  </w:style>
  <w:style w:type="paragraph" w:customStyle="1" w:styleId="Kapitelberschrift">
    <w:name w:val="Kapitelüberschrift"/>
    <w:basedOn w:val="a3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TaskHeader">
    <w:name w:val="Task Header"/>
    <w:basedOn w:val="a3"/>
    <w:next w:val="a3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3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2">
    <w:name w:val="Список с черточкой"/>
    <w:basedOn w:val="a3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3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Handbuchtitel">
    <w:name w:val="Handbuchtitel"/>
    <w:basedOn w:val="a3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3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e">
    <w:name w:val="Заголовок 1. Предложения"/>
    <w:aliases w:val="связанные"/>
    <w:basedOn w:val="10"/>
    <w:autoRedefine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">
    <w:name w:val="Выделение1"/>
    <w:rPr>
      <w:i/>
      <w:spacing w:val="0"/>
    </w:rPr>
  </w:style>
  <w:style w:type="paragraph" w:customStyle="1" w:styleId="1f0">
    <w:name w:val="Обычный1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f1">
    <w:name w:val="Стиль1"/>
    <w:basedOn w:val="a3"/>
    <w:pPr>
      <w:spacing w:before="120"/>
      <w:jc w:val="both"/>
    </w:pPr>
  </w:style>
  <w:style w:type="paragraph" w:customStyle="1" w:styleId="afff3">
    <w:name w:val="Юристы"/>
    <w:basedOn w:val="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4">
    <w:name w:val="Normal (Web)"/>
    <w:basedOn w:val="a3"/>
    <w:pPr>
      <w:spacing w:before="100" w:beforeAutospacing="1" w:after="100" w:afterAutospacing="1"/>
    </w:pPr>
  </w:style>
  <w:style w:type="paragraph" w:customStyle="1" w:styleId="1f2">
    <w:name w:val="1"/>
    <w:basedOn w:val="a3"/>
    <w:next w:val="afff4"/>
    <w:link w:val="1f3"/>
    <w:pPr>
      <w:spacing w:before="100" w:beforeAutospacing="1" w:after="100" w:afterAutospacing="1"/>
    </w:pPr>
  </w:style>
  <w:style w:type="character" w:customStyle="1" w:styleId="1f3">
    <w:name w:val="1 Знак"/>
    <w:link w:val="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5">
    <w:name w:val="Юристы Знак"/>
    <w:basedOn w:val="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6">
    <w:name w:val="Отчет"/>
    <w:basedOn w:val="a3"/>
    <w:pPr>
      <w:ind w:firstLine="567"/>
      <w:jc w:val="both"/>
    </w:pPr>
  </w:style>
  <w:style w:type="paragraph" w:customStyle="1" w:styleId="1f4">
    <w:name w:val="Текст1"/>
    <w:basedOn w:val="a3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3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9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1">
    <w:name w:val="Основной текст 31"/>
    <w:basedOn w:val="a3"/>
    <w:pPr>
      <w:widowControl w:val="0"/>
      <w:ind w:firstLine="567"/>
      <w:jc w:val="both"/>
    </w:pPr>
    <w:rPr>
      <w:szCs w:val="20"/>
    </w:rPr>
  </w:style>
  <w:style w:type="paragraph" w:customStyle="1" w:styleId="afff7">
    <w:name w:val="Список с точкой"/>
    <w:basedOn w:val="a3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1">
    <w:name w:val="Обычный + 11 пт"/>
    <w:aliases w:val="По ширине"/>
    <w:basedOn w:val="a3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3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0">
    <w:name w:val="Body Text 22"/>
    <w:basedOn w:val="a3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3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8">
    <w:name w:val="List"/>
    <w:basedOn w:val="a3"/>
    <w:pPr>
      <w:ind w:left="283" w:hanging="283"/>
    </w:pPr>
  </w:style>
  <w:style w:type="paragraph" w:customStyle="1" w:styleId="1f5">
    <w:name w:val="Обычный 1"/>
    <w:basedOn w:val="a3"/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9">
    <w:name w:val="Обычный текст"/>
    <w:basedOn w:val="a3"/>
    <w:link w:val="afffa"/>
    <w:pPr>
      <w:ind w:firstLine="425"/>
    </w:pPr>
    <w:rPr>
      <w:rFonts w:eastAsia="Arial Unicode MS"/>
    </w:rPr>
  </w:style>
  <w:style w:type="character" w:customStyle="1" w:styleId="afffa">
    <w:name w:val="Обычный текст Знак"/>
    <w:link w:val="afff9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ffb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c">
    <w:name w:val="Знак Знак Знак 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3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3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3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3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3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3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3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3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d">
    <w:name w:val="Оглавление"/>
    <w:basedOn w:val="14"/>
    <w:autoRedefine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e">
    <w:name w:val="Список атрибутов"/>
    <w:basedOn w:val="a3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CharChar1CharCharCharChar0">
    <w:name w:val="Char Char1 Знак Знак Char Char Знак Знак Char Char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">
    <w:name w:val="Îáû÷íûé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6">
    <w:name w:val="Знак Знак Знак1"/>
    <w:basedOn w:val="a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5">
    <w:name w:val="List 4"/>
    <w:basedOn w:val="a3"/>
    <w:pPr>
      <w:ind w:left="1132" w:hanging="283"/>
    </w:pPr>
  </w:style>
  <w:style w:type="paragraph" w:customStyle="1" w:styleId="100">
    <w:name w:val="Секция 10"/>
    <w:basedOn w:val="a3"/>
    <w:pPr>
      <w:spacing w:before="60"/>
    </w:pPr>
    <w:rPr>
      <w:sz w:val="20"/>
      <w:u w:val="single"/>
    </w:rPr>
  </w:style>
  <w:style w:type="paragraph" w:customStyle="1" w:styleId="3c">
    <w:name w:val="Обычный 3к"/>
    <w:basedOn w:val="a3"/>
    <w:pPr>
      <w:ind w:left="851"/>
    </w:pPr>
    <w:rPr>
      <w:i/>
      <w:sz w:val="20"/>
    </w:rPr>
  </w:style>
  <w:style w:type="paragraph" w:customStyle="1" w:styleId="1f7">
    <w:name w:val="Список 1"/>
    <w:basedOn w:val="a3"/>
    <w:pPr>
      <w:tabs>
        <w:tab w:val="num" w:pos="1004"/>
      </w:tabs>
      <w:ind w:left="1004" w:hanging="360"/>
    </w:pPr>
  </w:style>
  <w:style w:type="paragraph" w:styleId="2c">
    <w:name w:val="List 2"/>
    <w:basedOn w:val="a3"/>
    <w:pPr>
      <w:ind w:left="566" w:hanging="283"/>
    </w:pPr>
  </w:style>
  <w:style w:type="paragraph" w:styleId="3d">
    <w:name w:val="List 3"/>
    <w:basedOn w:val="a3"/>
    <w:pPr>
      <w:ind w:left="849" w:hanging="283"/>
    </w:pPr>
  </w:style>
  <w:style w:type="paragraph" w:styleId="affff0">
    <w:name w:val="Body Text First Indent"/>
    <w:basedOn w:val="a9"/>
    <w:link w:val="1f8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1">
    <w:name w:val="Красная строка Знак"/>
    <w:basedOn w:val="12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d">
    <w:name w:val="Body Text First Indent 2"/>
    <w:basedOn w:val="af8"/>
    <w:link w:val="212"/>
    <w:pPr>
      <w:spacing w:after="120"/>
      <w:ind w:left="283" w:firstLine="210"/>
    </w:pPr>
    <w:rPr>
      <w:lang w:eastAsia="ru-RU"/>
    </w:rPr>
  </w:style>
  <w:style w:type="character" w:customStyle="1" w:styleId="2e">
    <w:name w:val="Красная строка 2 Знак"/>
    <w:basedOn w:val="a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Красная строка 2 Знак1"/>
    <w:link w:val="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pPr>
      <w:autoSpaceDE w:val="0"/>
      <w:autoSpaceDN w:val="0"/>
    </w:pPr>
    <w:rPr>
      <w:b/>
      <w:bCs/>
    </w:rPr>
  </w:style>
  <w:style w:type="character" w:customStyle="1" w:styleId="affff2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1f9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3">
    <w:name w:val="Нумерация"/>
    <w:basedOn w:val="a3"/>
    <w:next w:val="a3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3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3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3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3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3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3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3"/>
    <w:pPr>
      <w:spacing w:before="100" w:beforeAutospacing="1" w:after="100" w:afterAutospacing="1"/>
    </w:pPr>
  </w:style>
  <w:style w:type="paragraph" w:customStyle="1" w:styleId="xl104">
    <w:name w:val="xl104"/>
    <w:basedOn w:val="a3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3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3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3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3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3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3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3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3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3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3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3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3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3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3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3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3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3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3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3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3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3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3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3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3"/>
    <w:pPr>
      <w:spacing w:before="100" w:beforeAutospacing="1" w:after="100" w:afterAutospacing="1"/>
    </w:pPr>
    <w:rPr>
      <w:b/>
      <w:bCs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4">
    <w:name w:val="Список_в_таблице_маркированный"/>
    <w:basedOn w:val="a3"/>
    <w:next w:val="a3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5">
    <w:name w:val="Пункт_нормативн_документа"/>
    <w:basedOn w:val="a9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5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6">
    <w:name w:val="Список с маркерами"/>
    <w:basedOn w:val="a3"/>
    <w:pPr>
      <w:tabs>
        <w:tab w:val="num" w:pos="2098"/>
      </w:tabs>
      <w:ind w:left="2098" w:hanging="397"/>
    </w:pPr>
    <w:rPr>
      <w:sz w:val="20"/>
      <w:szCs w:val="20"/>
    </w:rPr>
  </w:style>
  <w:style w:type="paragraph" w:customStyle="1" w:styleId="112">
    <w:name w:val="Заголовок 1;Заголовок параграфа (1.)"/>
    <w:basedOn w:val="a3"/>
  </w:style>
  <w:style w:type="paragraph" w:customStyle="1" w:styleId="affff7">
    <w:name w:val="Знак Знак Знак 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3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">
    <w:name w:val="Дата Знак2"/>
    <w:link w:val="affff8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6">
    <w:name w:val="Знак Знак4"/>
    <w:rPr>
      <w:sz w:val="28"/>
      <w:szCs w:val="28"/>
      <w:lang w:val="ru-RU" w:eastAsia="ru-RU" w:bidi="ar-SA"/>
    </w:rPr>
  </w:style>
  <w:style w:type="character" w:customStyle="1" w:styleId="2f0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2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0">
    <w:name w:val="Заголовок 3 Знак1"/>
    <w:aliases w:val="H3 Знак1,Заголовок подпукта (1.1.1) Знак1,Level 1 - 1 Знак1,o Знак1"/>
    <w:link w:val="31"/>
    <w:locked/>
    <w:rPr>
      <w:rFonts w:ascii="Garamond" w:eastAsia="Times New Roman" w:hAnsi="Garamond" w:cs="Times New Roman"/>
      <w:b/>
      <w:color w:val="000000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0">
    <w:name w:val="Основной текст 2 Знак2"/>
    <w:link w:val="23"/>
    <w:locked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HeaderChar">
    <w:name w:val="Header Char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1fa">
    <w:name w:val="Текст концевой сноски Знак1"/>
    <w:semiHidden/>
    <w:locked/>
    <w:rPr>
      <w:rFonts w:ascii="Garamond" w:hAnsi="Garamond"/>
      <w:lang w:val="en-GB" w:eastAsia="en-US" w:bidi="ar-SA"/>
    </w:rPr>
  </w:style>
  <w:style w:type="character" w:customStyle="1" w:styleId="1fb">
    <w:name w:val="Текст выноски Знак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fc">
    <w:name w:val="Заголовок оглавления1"/>
    <w:basedOn w:val="10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8">
    <w:name w:val="Текст Знак2"/>
    <w:link w:val="aff9"/>
    <w:locked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d">
    <w:name w:val="Тема примечания Знак1"/>
    <w:link w:val="affc"/>
    <w:semiHidden/>
    <w:locked/>
    <w:rPr>
      <w:rFonts w:ascii="Garamond" w:eastAsia="Times New Roman" w:hAnsi="Garamond" w:cs="Times New Roman"/>
      <w:b/>
      <w:bCs/>
      <w:sz w:val="20"/>
      <w:szCs w:val="20"/>
      <w:lang w:val="en-GB"/>
    </w:rPr>
  </w:style>
  <w:style w:type="character" w:customStyle="1" w:styleId="29">
    <w:name w:val="Схема документа Знак2"/>
    <w:link w:val="affe"/>
    <w:semiHidden/>
    <w:locked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ink w:val="HTML"/>
    <w:locked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d">
    <w:name w:val="Выделение1"/>
    <w:rPr>
      <w:i/>
      <w:spacing w:val="0"/>
    </w:rPr>
  </w:style>
  <w:style w:type="paragraph" w:customStyle="1" w:styleId="1fe">
    <w:name w:val="Обычный1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ff">
    <w:name w:val="Текст1"/>
    <w:basedOn w:val="a3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3">
    <w:name w:val="Основной текст 21"/>
    <w:basedOn w:val="a9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4">
    <w:name w:val="Основной текст с отступом 21"/>
    <w:basedOn w:val="a3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3">
    <w:name w:val="Основной текст 31"/>
    <w:basedOn w:val="a3"/>
    <w:pPr>
      <w:widowControl w:val="0"/>
      <w:ind w:firstLine="567"/>
      <w:jc w:val="both"/>
    </w:pPr>
    <w:rPr>
      <w:szCs w:val="20"/>
    </w:rPr>
  </w:style>
  <w:style w:type="paragraph" w:customStyle="1" w:styleId="314">
    <w:name w:val="Основной текст с отступом 31"/>
    <w:basedOn w:val="a3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1ff0">
    <w:name w:val="Знак1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f1">
    <w:name w:val="Абзац списка1"/>
    <w:basedOn w:val="a3"/>
    <w:pPr>
      <w:ind w:left="720"/>
      <w:contextualSpacing/>
    </w:pPr>
  </w:style>
  <w:style w:type="character" w:customStyle="1" w:styleId="1f8">
    <w:name w:val="Красная строка Знак1"/>
    <w:link w:val="affff0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1">
    <w:name w:val="Знак Знак12"/>
    <w:rPr>
      <w:rFonts w:ascii="Times New Roman" w:hAnsi="Times New Roman" w:cs="Times New Roman"/>
      <w:sz w:val="24"/>
      <w:szCs w:val="24"/>
    </w:rPr>
  </w:style>
  <w:style w:type="character" w:customStyle="1" w:styleId="151">
    <w:name w:val="Знак Знак15"/>
    <w:rPr>
      <w:rFonts w:cs="Times New Roman"/>
      <w:sz w:val="24"/>
      <w:szCs w:val="24"/>
    </w:rPr>
  </w:style>
  <w:style w:type="paragraph" w:customStyle="1" w:styleId="114">
    <w:name w:val="Абзац списка1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f2">
    <w:name w:val="Знак Знак Знак Знак1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5">
    <w:name w:val="Знак Знак11"/>
    <w:semiHidden/>
    <w:rPr>
      <w:rFonts w:ascii="Garamond" w:hAnsi="Garamond" w:cs="Times New Roman"/>
      <w:sz w:val="22"/>
    </w:rPr>
  </w:style>
  <w:style w:type="character" w:customStyle="1" w:styleId="161">
    <w:name w:val="Знак Знак16"/>
    <w:rPr>
      <w:rFonts w:cs="Times New Roman"/>
      <w:sz w:val="24"/>
      <w:szCs w:val="24"/>
      <w:lang w:val="ru-RU" w:eastAsia="ru-RU" w:bidi="ar-SA"/>
    </w:rPr>
  </w:style>
  <w:style w:type="character" w:customStyle="1" w:styleId="131">
    <w:name w:val="Знак Знак13"/>
    <w:rPr>
      <w:rFonts w:cs="Times New Roman"/>
      <w:sz w:val="24"/>
      <w:szCs w:val="24"/>
      <w:lang w:val="ru-RU" w:eastAsia="ru-RU" w:bidi="ar-SA"/>
    </w:rPr>
  </w:style>
  <w:style w:type="character" w:customStyle="1" w:styleId="141">
    <w:name w:val="Знак Знак14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7">
    <w:name w:val="Знак Знак4"/>
    <w:rPr>
      <w:rFonts w:cs="Times New Roman"/>
      <w:sz w:val="28"/>
      <w:szCs w:val="28"/>
      <w:lang w:val="ru-RU" w:eastAsia="ru-RU" w:bidi="ar-SA"/>
    </w:rPr>
  </w:style>
  <w:style w:type="character" w:customStyle="1" w:styleId="223">
    <w:name w:val="Знак Знак22"/>
    <w:rPr>
      <w:rFonts w:cs="Times New Roman"/>
      <w:sz w:val="24"/>
      <w:szCs w:val="24"/>
      <w:lang w:val="x-none" w:eastAsia="en-US"/>
    </w:rPr>
  </w:style>
  <w:style w:type="character" w:customStyle="1" w:styleId="241">
    <w:name w:val="Знак Знак24"/>
    <w:semiHidden/>
    <w:locked/>
    <w:rPr>
      <w:rFonts w:cs="Times New Roman"/>
    </w:rPr>
  </w:style>
  <w:style w:type="numbering" w:styleId="111111">
    <w:name w:val="Outline List 2"/>
    <w:basedOn w:val="a6"/>
    <w:pPr>
      <w:numPr>
        <w:numId w:val="4"/>
      </w:numPr>
    </w:pPr>
  </w:style>
  <w:style w:type="paragraph" w:customStyle="1" w:styleId="normalindent12">
    <w:name w:val="normalindent12"/>
    <w:basedOn w:val="a3"/>
    <w:pPr>
      <w:overflowPunct w:val="0"/>
      <w:ind w:left="720"/>
      <w:jc w:val="both"/>
    </w:pPr>
  </w:style>
  <w:style w:type="character" w:customStyle="1" w:styleId="m1">
    <w:name w:val="m1"/>
    <w:rPr>
      <w:color w:val="0000FF"/>
    </w:rPr>
  </w:style>
  <w:style w:type="paragraph" w:customStyle="1" w:styleId="2f1">
    <w:name w:val="Обычный2"/>
    <w:basedOn w:val="a3"/>
    <w:rPr>
      <w:rFonts w:ascii="Times New Roman CYR" w:eastAsia="Calibri" w:hAnsi="Times New Roman CYR" w:cs="Times New Roman CYR"/>
      <w:sz w:val="20"/>
      <w:szCs w:val="20"/>
    </w:rPr>
  </w:style>
  <w:style w:type="paragraph" w:customStyle="1" w:styleId="3e">
    <w:name w:val="Обычный 3"/>
    <w:basedOn w:val="a3"/>
    <w:pPr>
      <w:ind w:left="851"/>
    </w:pPr>
  </w:style>
  <w:style w:type="paragraph" w:styleId="affff8">
    <w:name w:val="Date"/>
    <w:basedOn w:val="a3"/>
    <w:next w:val="a3"/>
    <w:link w:val="2f"/>
    <w:rPr>
      <w:rFonts w:ascii="Arial MT Black" w:eastAsiaTheme="minorHAnsi" w:hAnsi="Arial MT Black" w:cstheme="minorBidi"/>
      <w:b/>
      <w:spacing w:val="-20"/>
      <w:kern w:val="28"/>
      <w:sz w:val="40"/>
      <w:szCs w:val="22"/>
    </w:rPr>
  </w:style>
  <w:style w:type="character" w:customStyle="1" w:styleId="affff9">
    <w:name w:val="Дата Знак"/>
    <w:basedOn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3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f4">
    <w:name w:val="Основной текст с отступом Знак1"/>
    <w:semiHidden/>
    <w:rPr>
      <w:rFonts w:ascii="Garamond" w:hAnsi="Garamond"/>
      <w:sz w:val="22"/>
      <w:lang w:val="en-GB" w:eastAsia="en-US"/>
    </w:rPr>
  </w:style>
  <w:style w:type="character" w:customStyle="1" w:styleId="215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5">
    <w:name w:val="Основной текст с отступом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6">
    <w:name w:val="Основной текст 2 Знак1"/>
    <w:semiHidden/>
    <w:rPr>
      <w:rFonts w:ascii="Garamond" w:hAnsi="Garamond"/>
      <w:sz w:val="22"/>
      <w:lang w:val="en-GB" w:eastAsia="en-US"/>
    </w:rPr>
  </w:style>
  <w:style w:type="character" w:customStyle="1" w:styleId="316">
    <w:name w:val="Основной текст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f5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pPr>
      <w:pageBreakBefore/>
      <w:numPr>
        <w:numId w:val="5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pPr>
      <w:numPr>
        <w:numId w:val="8"/>
      </w:numPr>
    </w:pPr>
    <w:rPr>
      <w:sz w:val="20"/>
    </w:rPr>
  </w:style>
  <w:style w:type="paragraph" w:customStyle="1" w:styleId="a0">
    <w:name w:val="Сущность"/>
    <w:basedOn w:val="40"/>
    <w:pPr>
      <w:numPr>
        <w:ilvl w:val="3"/>
        <w:numId w:val="6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pPr>
      <w:numPr>
        <w:numId w:val="7"/>
      </w:numPr>
    </w:pPr>
    <w:rPr>
      <w:sz w:val="20"/>
    </w:rPr>
  </w:style>
  <w:style w:type="paragraph" w:customStyle="1" w:styleId="MainTitle">
    <w:name w:val="MainTitle"/>
    <w:basedOn w:val="a3"/>
    <w:pPr>
      <w:numPr>
        <w:numId w:val="9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pPr>
      <w:numPr>
        <w:numId w:val="11"/>
      </w:numPr>
      <w:contextualSpacing/>
    </w:pPr>
  </w:style>
  <w:style w:type="paragraph" w:customStyle="1" w:styleId="affffa">
    <w:name w:val="Название таблицы"/>
    <w:basedOn w:val="a3"/>
    <w:next w:val="a3"/>
    <w:pPr>
      <w:spacing w:line="360" w:lineRule="auto"/>
      <w:jc w:val="center"/>
    </w:pPr>
    <w:rPr>
      <w:sz w:val="28"/>
      <w:szCs w:val="20"/>
    </w:rPr>
  </w:style>
  <w:style w:type="paragraph" w:customStyle="1" w:styleId="affffb">
    <w:name w:val="Подпись к таблице"/>
    <w:basedOn w:val="a3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3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1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f6">
    <w:name w:val="Титул 1ц"/>
    <w:basedOn w:val="a3"/>
    <w:pPr>
      <w:jc w:val="center"/>
    </w:pPr>
    <w:rPr>
      <w:sz w:val="36"/>
    </w:rPr>
  </w:style>
  <w:style w:type="paragraph" w:customStyle="1" w:styleId="40px">
    <w:name w:val="Обычный: + отступ 40 px"/>
    <w:basedOn w:val="a3"/>
    <w:pPr>
      <w:ind w:firstLine="601"/>
    </w:pPr>
    <w:rPr>
      <w:szCs w:val="20"/>
    </w:rPr>
  </w:style>
  <w:style w:type="paragraph" w:customStyle="1" w:styleId="RightJustBody">
    <w:name w:val="Right Just Body"/>
    <w:basedOn w:val="a3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3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c">
    <w:name w:val="Подзаголовок требования"/>
    <w:basedOn w:val="a3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7">
    <w:name w:val="Обычный 1ж"/>
    <w:basedOn w:val="a3"/>
    <w:pPr>
      <w:spacing w:before="60"/>
    </w:pPr>
    <w:rPr>
      <w:u w:val="single"/>
    </w:rPr>
  </w:style>
  <w:style w:type="paragraph" w:customStyle="1" w:styleId="2f2">
    <w:name w:val="Обычный 2"/>
    <w:basedOn w:val="a3"/>
    <w:pPr>
      <w:ind w:left="567"/>
    </w:pPr>
  </w:style>
  <w:style w:type="paragraph" w:customStyle="1" w:styleId="48">
    <w:name w:val="Обычный 4"/>
    <w:basedOn w:val="a3"/>
    <w:pPr>
      <w:ind w:left="1134"/>
    </w:pPr>
  </w:style>
  <w:style w:type="paragraph" w:customStyle="1" w:styleId="55">
    <w:name w:val="Обычный 5"/>
    <w:basedOn w:val="a3"/>
    <w:pPr>
      <w:ind w:left="1418"/>
    </w:pPr>
  </w:style>
  <w:style w:type="paragraph" w:customStyle="1" w:styleId="63">
    <w:name w:val="Обычный 6"/>
    <w:basedOn w:val="a3"/>
    <w:pPr>
      <w:ind w:left="1701"/>
    </w:pPr>
  </w:style>
  <w:style w:type="paragraph" w:customStyle="1" w:styleId="73">
    <w:name w:val="Обычный 7"/>
    <w:basedOn w:val="a3"/>
    <w:pPr>
      <w:ind w:left="1985"/>
    </w:pPr>
  </w:style>
  <w:style w:type="paragraph" w:customStyle="1" w:styleId="56">
    <w:name w:val="Обычный уровень 5"/>
    <w:basedOn w:val="a3"/>
    <w:pPr>
      <w:ind w:left="284"/>
    </w:pPr>
  </w:style>
  <w:style w:type="paragraph" w:customStyle="1" w:styleId="1ff8">
    <w:name w:val="Титул 1жц"/>
    <w:basedOn w:val="a3"/>
    <w:pPr>
      <w:spacing w:after="240"/>
      <w:jc w:val="center"/>
    </w:pPr>
    <w:rPr>
      <w:b/>
      <w:sz w:val="36"/>
    </w:rPr>
  </w:style>
  <w:style w:type="paragraph" w:customStyle="1" w:styleId="affffd">
    <w:name w:val="Обычный к"/>
    <w:basedOn w:val="a3"/>
    <w:rPr>
      <w:i/>
    </w:rPr>
  </w:style>
  <w:style w:type="paragraph" w:customStyle="1" w:styleId="57">
    <w:name w:val="Сущность 5"/>
    <w:basedOn w:val="a0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e">
    <w:name w:val="Таблица заголовок"/>
    <w:basedOn w:val="a3"/>
    <w:pPr>
      <w:jc w:val="center"/>
    </w:pPr>
  </w:style>
  <w:style w:type="paragraph" w:customStyle="1" w:styleId="afffff">
    <w:name w:val="Таблица ячейка"/>
    <w:basedOn w:val="a3"/>
  </w:style>
  <w:style w:type="paragraph" w:customStyle="1" w:styleId="afffff0">
    <w:name w:val="Обычный ж"/>
    <w:basedOn w:val="a3"/>
    <w:rPr>
      <w:b/>
    </w:rPr>
  </w:style>
  <w:style w:type="paragraph" w:customStyle="1" w:styleId="afffff1">
    <w:name w:val="Обычный жц"/>
    <w:basedOn w:val="a3"/>
    <w:pPr>
      <w:jc w:val="center"/>
    </w:pPr>
    <w:rPr>
      <w:b/>
    </w:rPr>
  </w:style>
  <w:style w:type="paragraph" w:customStyle="1" w:styleId="Courier4">
    <w:name w:val="Courier 4"/>
    <w:basedOn w:val="48"/>
    <w:rPr>
      <w:rFonts w:ascii="Courier New" w:hAnsi="Courier New"/>
      <w:sz w:val="20"/>
    </w:rPr>
  </w:style>
  <w:style w:type="paragraph" w:customStyle="1" w:styleId="05">
    <w:name w:val="Обычный 05"/>
    <w:basedOn w:val="a3"/>
    <w:pPr>
      <w:ind w:left="284"/>
    </w:pPr>
    <w:rPr>
      <w:sz w:val="20"/>
    </w:rPr>
  </w:style>
  <w:style w:type="paragraph" w:customStyle="1" w:styleId="410">
    <w:name w:val="Обычный 4_10"/>
    <w:basedOn w:val="48"/>
    <w:rPr>
      <w:sz w:val="20"/>
    </w:rPr>
  </w:style>
  <w:style w:type="paragraph" w:customStyle="1" w:styleId="SP1">
    <w:name w:val="SP1"/>
    <w:basedOn w:val="a3"/>
    <w:pPr>
      <w:ind w:left="284" w:hanging="284"/>
    </w:pPr>
  </w:style>
  <w:style w:type="paragraph" w:customStyle="1" w:styleId="SP2">
    <w:name w:val="SP2"/>
    <w:basedOn w:val="a3"/>
    <w:pPr>
      <w:ind w:left="1134" w:hanging="567"/>
    </w:pPr>
  </w:style>
  <w:style w:type="paragraph" w:customStyle="1" w:styleId="SP3">
    <w:name w:val="SP3"/>
    <w:basedOn w:val="a3"/>
    <w:pPr>
      <w:ind w:left="1560" w:hanging="709"/>
    </w:pPr>
  </w:style>
  <w:style w:type="paragraph" w:styleId="afffff2">
    <w:name w:val="Revision"/>
    <w:hidden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3">
    <w:name w:val="Таблицы (моноширинный)"/>
    <w:basedOn w:val="a3"/>
    <w:next w:val="a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f9">
    <w:name w:val="Название1"/>
    <w:basedOn w:val="a3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">
    <w:name w:val="ЭАА"/>
    <w:basedOn w:val="10"/>
    <w:link w:val="afffff4"/>
    <w:qFormat/>
    <w:pPr>
      <w:numPr>
        <w:numId w:val="12"/>
      </w:numPr>
      <w:spacing w:before="0" w:after="0"/>
      <w:jc w:val="right"/>
    </w:pPr>
    <w:rPr>
      <w:rFonts w:cs="Times New Roman"/>
      <w:caps w:val="0"/>
      <w:color w:val="auto"/>
      <w:kern w:val="0"/>
      <w:lang w:eastAsia="ru-RU"/>
    </w:rPr>
  </w:style>
  <w:style w:type="character" w:customStyle="1" w:styleId="afffff4">
    <w:name w:val="ЭАА Знак"/>
    <w:link w:val="a"/>
    <w:rPr>
      <w:rFonts w:ascii="Garamond" w:eastAsia="Times New Roman" w:hAnsi="Garamond" w:cs="Times New Roman"/>
      <w:b/>
      <w:lang w:eastAsia="ru-RU"/>
    </w:rPr>
  </w:style>
  <w:style w:type="paragraph" w:styleId="afffff5">
    <w:name w:val="No Spacing"/>
    <w:qFormat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character" w:customStyle="1" w:styleId="Bodytext30">
    <w:name w:val="Body text (3)_"/>
    <w:link w:val="Bodytext3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1">
    <w:name w:val="Body text (2)2"/>
  </w:style>
  <w:style w:type="paragraph" w:customStyle="1" w:styleId="Bodytext31">
    <w:name w:val="Body text (3)1"/>
    <w:basedOn w:val="a3"/>
    <w:link w:val="Bodytext30"/>
    <w:pPr>
      <w:shd w:val="clear" w:color="auto" w:fill="FFFFFF"/>
      <w:spacing w:before="240" w:after="240" w:line="240" w:lineRule="atLeast"/>
      <w:ind w:hanging="360"/>
    </w:pPr>
    <w:rPr>
      <w:rFonts w:ascii="Garamond" w:eastAsiaTheme="minorHAnsi" w:hAnsi="Garamond" w:cstheme="minorBidi"/>
      <w:sz w:val="18"/>
      <w:szCs w:val="18"/>
      <w:shd w:val="clear" w:color="auto" w:fill="FFFFFF"/>
      <w:lang w:eastAsia="en-US"/>
    </w:rPr>
  </w:style>
  <w:style w:type="paragraph" w:customStyle="1" w:styleId="Bodytext41">
    <w:name w:val="Body text (4)"/>
    <w:basedOn w:val="a3"/>
    <w:link w:val="Bodytext40"/>
    <w:pPr>
      <w:shd w:val="clear" w:color="auto" w:fill="FFFFFF"/>
      <w:spacing w:before="120" w:after="120" w:line="221" w:lineRule="exact"/>
      <w:ind w:firstLine="660"/>
      <w:jc w:val="both"/>
    </w:pPr>
    <w:rPr>
      <w:rFonts w:ascii="Garamond" w:eastAsiaTheme="minorHAnsi" w:hAnsi="Garamond" w:cstheme="minorBidi"/>
      <w:b/>
      <w:bCs/>
      <w:sz w:val="18"/>
      <w:szCs w:val="18"/>
      <w:shd w:val="clear" w:color="auto" w:fill="FFFFFF"/>
      <w:lang w:eastAsia="en-US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7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a">
    <w:name w:val="Нет списка1"/>
    <w:next w:val="a6"/>
    <w:semiHidden/>
  </w:style>
  <w:style w:type="numbering" w:customStyle="1" w:styleId="1111111">
    <w:name w:val="1 / 1.1 / 1.1.11"/>
    <w:basedOn w:val="a6"/>
    <w:next w:val="111111"/>
    <w:pPr>
      <w:numPr>
        <w:numId w:val="2"/>
      </w:numPr>
    </w:pPr>
  </w:style>
  <w:style w:type="numbering" w:customStyle="1" w:styleId="2f3">
    <w:name w:val="Нет списка2"/>
    <w:next w:val="a6"/>
    <w:semiHidden/>
    <w:unhideWhenUsed/>
  </w:style>
  <w:style w:type="numbering" w:customStyle="1" w:styleId="1111112">
    <w:name w:val="1 / 1.1 / 1.1.12"/>
    <w:basedOn w:val="a6"/>
    <w:next w:val="111111"/>
    <w:pPr>
      <w:numPr>
        <w:numId w:val="3"/>
      </w:numPr>
    </w:pPr>
  </w:style>
  <w:style w:type="paragraph" w:customStyle="1" w:styleId="2f4">
    <w:name w:val="Обычный2"/>
    <w:basedOn w:val="a3"/>
    <w:rPr>
      <w:rFonts w:ascii="Times New Roman CYR" w:eastAsia="Calibri" w:hAnsi="Times New Roman CYR" w:cs="Times New Roman CYR"/>
      <w:sz w:val="20"/>
      <w:szCs w:val="20"/>
    </w:rPr>
  </w:style>
  <w:style w:type="paragraph" w:customStyle="1" w:styleId="-11">
    <w:name w:val="Цветной список - Акцент 11"/>
    <w:basedOn w:val="a3"/>
    <w:pPr>
      <w:ind w:left="708"/>
    </w:pPr>
  </w:style>
  <w:style w:type="character" w:customStyle="1" w:styleId="PlainTextChar">
    <w:name w:val="Plain Text Char"/>
    <w:basedOn w:val="a4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4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4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4"/>
    <w:semiHidden/>
    <w:locked/>
    <w:rPr>
      <w:rFonts w:cs="Times New Roman"/>
      <w:sz w:val="2"/>
    </w:rPr>
  </w:style>
  <w:style w:type="paragraph" w:customStyle="1" w:styleId="2f5">
    <w:name w:val="Знак2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locked/>
    <w:rPr>
      <w:rFonts w:cs="Times New Roman"/>
      <w:b/>
    </w:rPr>
  </w:style>
  <w:style w:type="paragraph" w:customStyle="1" w:styleId="1ffb">
    <w:name w:val="Рецензия1"/>
    <w:hidden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c">
    <w:name w:val="Замещающий текст1"/>
    <w:basedOn w:val="a4"/>
    <w:semiHidden/>
    <w:rPr>
      <w:rFonts w:cs="Times New Roman"/>
      <w:color w:val="808080"/>
    </w:rPr>
  </w:style>
  <w:style w:type="paragraph" w:customStyle="1" w:styleId="1ffd">
    <w:name w:val="список 1"/>
    <w:basedOn w:val="a3"/>
    <w:pPr>
      <w:spacing w:after="240"/>
      <w:ind w:left="794"/>
      <w:jc w:val="both"/>
    </w:pPr>
  </w:style>
  <w:style w:type="paragraph" w:customStyle="1" w:styleId="afffff6">
    <w:name w:val="Базовый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4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4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4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4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4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4"/>
    <w:semiHidden/>
    <w:locked/>
    <w:rPr>
      <w:rFonts w:cs="Times New Roman"/>
      <w:sz w:val="24"/>
      <w:szCs w:val="24"/>
    </w:rPr>
  </w:style>
  <w:style w:type="paragraph" w:customStyle="1" w:styleId="1ffe">
    <w:name w:val="Без интервала1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character" w:customStyle="1" w:styleId="361">
    <w:name w:val="Знак Знак36"/>
    <w:rPr>
      <w:rFonts w:ascii="Garamond" w:hAnsi="Garamond"/>
      <w:sz w:val="22"/>
      <w:lang w:val="en-GB" w:eastAsia="en-US"/>
    </w:rPr>
  </w:style>
  <w:style w:type="character" w:customStyle="1" w:styleId="351">
    <w:name w:val="Знак Знак35"/>
    <w:rPr>
      <w:rFonts w:ascii="Garamond" w:hAnsi="Garamond"/>
      <w:sz w:val="22"/>
      <w:lang w:val="en-GB" w:eastAsia="en-US"/>
    </w:rPr>
  </w:style>
  <w:style w:type="character" w:customStyle="1" w:styleId="341">
    <w:name w:val="Знак Знак34"/>
    <w:rPr>
      <w:sz w:val="24"/>
      <w:lang w:val="ru-RU" w:eastAsia="en-US"/>
    </w:rPr>
  </w:style>
  <w:style w:type="character" w:customStyle="1" w:styleId="331">
    <w:name w:val="Знак Знак33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"/>
    <w:locked/>
    <w:rPr>
      <w:rFonts w:ascii="Arial" w:hAnsi="Arial"/>
      <w:i/>
      <w:lang w:val="ru-RU" w:eastAsia="ru-RU"/>
    </w:rPr>
  </w:style>
  <w:style w:type="character" w:customStyle="1" w:styleId="291">
    <w:name w:val="Знак Знак29"/>
    <w:rPr>
      <w:i/>
      <w:sz w:val="22"/>
      <w:lang w:val="ru-RU" w:eastAsia="en-US"/>
    </w:rPr>
  </w:style>
  <w:style w:type="character" w:customStyle="1" w:styleId="371">
    <w:name w:val="Знак Знак37"/>
    <w:semiHidden/>
    <w:locked/>
    <w:rPr>
      <w:sz w:val="24"/>
      <w:lang w:val="x-none" w:eastAsia="en-US"/>
    </w:rPr>
  </w:style>
  <w:style w:type="character" w:customStyle="1" w:styleId="323">
    <w:name w:val="Знак Знак32"/>
    <w:semiHidden/>
    <w:locked/>
    <w:rPr>
      <w:rFonts w:ascii="Garamond" w:hAnsi="Garamond"/>
      <w:lang w:val="en-GB" w:eastAsia="en-US"/>
    </w:rPr>
  </w:style>
  <w:style w:type="character" w:customStyle="1" w:styleId="318">
    <w:name w:val="Знак Знак31"/>
    <w:semiHidden/>
    <w:locked/>
    <w:rPr>
      <w:rFonts w:ascii="Tahoma" w:hAnsi="Tahoma"/>
      <w:sz w:val="16"/>
      <w:lang w:val="en-GB" w:eastAsia="en-US"/>
    </w:rPr>
  </w:style>
  <w:style w:type="paragraph" w:styleId="afffff7">
    <w:name w:val="Block Text"/>
    <w:basedOn w:val="a3"/>
    <w:pPr>
      <w:widowControl w:val="0"/>
      <w:ind w:left="760" w:right="600"/>
      <w:jc w:val="center"/>
    </w:pPr>
    <w:rPr>
      <w:sz w:val="22"/>
      <w:szCs w:val="20"/>
    </w:rPr>
  </w:style>
  <w:style w:type="character" w:customStyle="1" w:styleId="411">
    <w:name w:val="Заголовок 4 Знак1"/>
    <w:aliases w:val="H4 Знак1,H41 Знак1,Sub-Minor Знак1,Level 2 - a Знак1"/>
    <w:basedOn w:val="a4"/>
    <w:semiHidden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7">
    <w:name w:val="Заголовок 2 Знак1"/>
    <w:aliases w:val="222 Знак1,Заголовок пункта (1.1) Знак1,h2 Знак1,h21 Знак1,5 Знак1,Reset numbering Знак1"/>
    <w:basedOn w:val="a4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4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4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4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4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3"/>
    <w:pPr>
      <w:spacing w:before="100" w:beforeAutospacing="1" w:after="100" w:afterAutospacing="1"/>
    </w:pPr>
  </w:style>
  <w:style w:type="paragraph" w:customStyle="1" w:styleId="normal0">
    <w:name w:val="normal0"/>
    <w:basedOn w:val="a3"/>
    <w:pPr>
      <w:spacing w:before="100" w:beforeAutospacing="1" w:after="100" w:afterAutospacing="1"/>
    </w:p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6">
    <w:name w:val="Заголовок оглавления2"/>
    <w:basedOn w:val="10"/>
    <w:pPr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7">
    <w:name w:val="Выделение2"/>
    <w:rPr>
      <w:i/>
      <w:spacing w:val="0"/>
    </w:rPr>
  </w:style>
  <w:style w:type="paragraph" w:customStyle="1" w:styleId="3f">
    <w:name w:val="Обычный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8">
    <w:name w:val="Текст2"/>
    <w:basedOn w:val="a3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24">
    <w:name w:val="Основной текст 22"/>
    <w:basedOn w:val="a9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5">
    <w:name w:val="Основной текст с отступом 22"/>
    <w:basedOn w:val="a3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24">
    <w:name w:val="Основной текст 32"/>
    <w:basedOn w:val="a3"/>
    <w:pPr>
      <w:widowControl w:val="0"/>
      <w:ind w:firstLine="567"/>
      <w:jc w:val="both"/>
    </w:pPr>
    <w:rPr>
      <w:szCs w:val="20"/>
    </w:rPr>
  </w:style>
  <w:style w:type="paragraph" w:customStyle="1" w:styleId="325">
    <w:name w:val="Основной текст с отступом 32"/>
    <w:basedOn w:val="a3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2f9">
    <w:name w:val="Абзац списка2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9">
    <w:name w:val="Обычный4"/>
    <w:basedOn w:val="a3"/>
    <w:rPr>
      <w:rFonts w:ascii="Times New Roman CYR" w:hAnsi="Times New Roman CYR" w:cs="Times New Roman CYR"/>
      <w:sz w:val="20"/>
      <w:szCs w:val="20"/>
    </w:rPr>
  </w:style>
  <w:style w:type="table" w:customStyle="1" w:styleId="1fff">
    <w:name w:val="Сетка таблицы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3"/>
    <w:pPr>
      <w:spacing w:before="100" w:beforeAutospacing="1" w:after="100" w:afterAutospacing="1"/>
    </w:pPr>
  </w:style>
  <w:style w:type="paragraph" w:customStyle="1" w:styleId="msolistparagraph0">
    <w:name w:val="msolistparagraph"/>
    <w:basedOn w:val="a3"/>
    <w:pPr>
      <w:ind w:left="720"/>
      <w:contextualSpacing/>
    </w:pPr>
  </w:style>
  <w:style w:type="paragraph" w:customStyle="1" w:styleId="83">
    <w:name w:val="Абзац списка8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fa">
    <w:name w:val="List Bullet 2"/>
    <w:basedOn w:val="a3"/>
    <w:pPr>
      <w:tabs>
        <w:tab w:val="num" w:pos="643"/>
      </w:tabs>
      <w:ind w:left="643" w:hanging="360"/>
      <w:contextualSpacing/>
    </w:pPr>
  </w:style>
  <w:style w:type="paragraph" w:styleId="3">
    <w:name w:val="List Number 3"/>
    <w:basedOn w:val="a3"/>
    <w:pPr>
      <w:numPr>
        <w:numId w:val="13"/>
      </w:numPr>
      <w:contextualSpacing/>
    </w:pPr>
  </w:style>
  <w:style w:type="paragraph" w:customStyle="1" w:styleId="msonospacing0">
    <w:name w:val="msonospacing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0"/>
    <w:next w:val="a3"/>
    <w:pPr>
      <w:keepLines/>
      <w:numPr>
        <w:numId w:val="0"/>
      </w:numPr>
      <w:tabs>
        <w:tab w:val="num" w:pos="643"/>
      </w:tabs>
      <w:spacing w:before="240" w:after="0" w:line="256" w:lineRule="auto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0">
    <w:name w:val="НумСписок1 Знак"/>
    <w:link w:val="11"/>
    <w:locked/>
    <w:rPr>
      <w:sz w:val="24"/>
      <w:szCs w:val="24"/>
      <w:lang w:val="en-US" w:eastAsia="ru-RU"/>
    </w:rPr>
  </w:style>
  <w:style w:type="paragraph" w:customStyle="1" w:styleId="11">
    <w:name w:val="НумСписок1"/>
    <w:basedOn w:val="a3"/>
    <w:link w:val="1fff0"/>
    <w:pPr>
      <w:numPr>
        <w:numId w:val="14"/>
      </w:numPr>
    </w:pPr>
    <w:rPr>
      <w:rFonts w:asciiTheme="minorHAnsi" w:eastAsiaTheme="minorHAnsi" w:hAnsiTheme="minorHAnsi" w:cstheme="minorBidi"/>
      <w:lang w:val="en-US"/>
    </w:rPr>
  </w:style>
  <w:style w:type="character" w:customStyle="1" w:styleId="2fb">
    <w:name w:val="НумСписок2 Знак"/>
    <w:link w:val="2"/>
    <w:locked/>
    <w:rPr>
      <w:sz w:val="24"/>
      <w:szCs w:val="24"/>
      <w:lang w:val="en-US" w:eastAsia="ru-RU"/>
    </w:rPr>
  </w:style>
  <w:style w:type="paragraph" w:customStyle="1" w:styleId="2">
    <w:name w:val="НумСписок2"/>
    <w:basedOn w:val="a3"/>
    <w:link w:val="2fb"/>
    <w:pPr>
      <w:numPr>
        <w:ilvl w:val="1"/>
        <w:numId w:val="14"/>
      </w:numPr>
      <w:tabs>
        <w:tab w:val="num" w:pos="643"/>
      </w:tabs>
      <w:ind w:left="643" w:hanging="360"/>
    </w:pPr>
    <w:rPr>
      <w:rFonts w:asciiTheme="minorHAnsi" w:eastAsiaTheme="minorHAnsi" w:hAnsiTheme="minorHAnsi" w:cstheme="minorBidi"/>
      <w:lang w:val="en-US"/>
    </w:rPr>
  </w:style>
  <w:style w:type="character" w:customStyle="1" w:styleId="3f1">
    <w:name w:val="НумСписок3 Знак"/>
    <w:link w:val="32"/>
    <w:locked/>
    <w:rPr>
      <w:sz w:val="24"/>
      <w:szCs w:val="24"/>
      <w:lang w:val="en-US" w:eastAsia="ru-RU"/>
    </w:rPr>
  </w:style>
  <w:style w:type="paragraph" w:customStyle="1" w:styleId="32">
    <w:name w:val="НумСписок3"/>
    <w:basedOn w:val="2"/>
    <w:link w:val="3f1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a">
    <w:name w:val="НумСписок4 Знак"/>
    <w:link w:val="4"/>
    <w:locked/>
    <w:rPr>
      <w:sz w:val="24"/>
      <w:szCs w:val="24"/>
      <w:lang w:val="en-US" w:eastAsia="ru-RU"/>
    </w:rPr>
  </w:style>
  <w:style w:type="paragraph" w:customStyle="1" w:styleId="4">
    <w:name w:val="НумСписок4"/>
    <w:basedOn w:val="32"/>
    <w:link w:val="4a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8">
    <w:name w:val="НумСписок5 Знак"/>
    <w:link w:val="50"/>
    <w:locked/>
    <w:rPr>
      <w:sz w:val="24"/>
      <w:szCs w:val="24"/>
      <w:lang w:val="en-US" w:eastAsia="ru-RU"/>
    </w:rPr>
  </w:style>
  <w:style w:type="paragraph" w:customStyle="1" w:styleId="50">
    <w:name w:val="НумСписок5"/>
    <w:basedOn w:val="4"/>
    <w:link w:val="58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3"/>
    <w:rPr>
      <w:lang w:val="en-US" w:eastAsia="en-US"/>
    </w:rPr>
  </w:style>
  <w:style w:type="paragraph" w:customStyle="1" w:styleId="VariableNameofProperty">
    <w:name w:val="Variable Name of Property"/>
    <w:basedOn w:val="a3"/>
    <w:next w:val="a3"/>
    <w:rPr>
      <w:b/>
      <w:lang w:eastAsia="en-US"/>
    </w:rPr>
  </w:style>
  <w:style w:type="paragraph" w:customStyle="1" w:styleId="VariablePropertyDef">
    <w:name w:val="Variable Property Def"/>
    <w:basedOn w:val="a3"/>
    <w:rPr>
      <w:lang w:eastAsia="en-US"/>
    </w:rPr>
  </w:style>
  <w:style w:type="paragraph" w:customStyle="1" w:styleId="VariablePropertyNote">
    <w:name w:val="Variable Property Note"/>
    <w:basedOn w:val="a3"/>
    <w:rPr>
      <w:rFonts w:ascii="Courier New" w:hAnsi="Courier New"/>
      <w:lang w:val="en-US" w:eastAsia="en-US"/>
    </w:rPr>
  </w:style>
  <w:style w:type="paragraph" w:customStyle="1" w:styleId="VariablePropertyName">
    <w:name w:val="Variable Property Name"/>
    <w:basedOn w:val="a3"/>
    <w:rPr>
      <w:lang w:eastAsia="en-US"/>
    </w:rPr>
  </w:style>
  <w:style w:type="paragraph" w:customStyle="1" w:styleId="CharChar1CharCharCharChar2">
    <w:name w:val="Char Char1 Знак Знак Char Char Знак Знак Char Char2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c">
    <w:name w:val="Знак Знак Знак Знак2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6">
    <w:name w:val="Заголовок оглавления11"/>
    <w:basedOn w:val="10"/>
    <w:pPr>
      <w:keepLines/>
      <w:numPr>
        <w:numId w:val="0"/>
      </w:num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7">
    <w:name w:val="Обычный11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8">
    <w:name w:val="Текст11"/>
    <w:basedOn w:val="a3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10">
    <w:name w:val="Основной текст 211"/>
    <w:basedOn w:val="a9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3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10">
    <w:name w:val="Основной текст 311"/>
    <w:basedOn w:val="a3"/>
    <w:pPr>
      <w:widowControl w:val="0"/>
      <w:ind w:firstLine="567"/>
      <w:jc w:val="both"/>
    </w:pPr>
    <w:rPr>
      <w:szCs w:val="20"/>
    </w:rPr>
  </w:style>
  <w:style w:type="paragraph" w:customStyle="1" w:styleId="3111">
    <w:name w:val="Основной текст с отступом 311"/>
    <w:basedOn w:val="a3"/>
    <w:pPr>
      <w:overflowPunct w:val="0"/>
      <w:autoSpaceDE w:val="0"/>
      <w:autoSpaceDN w:val="0"/>
      <w:adjustRightInd w:val="0"/>
      <w:ind w:left="180" w:firstLine="540"/>
      <w:jc w:val="both"/>
    </w:pPr>
    <w:rPr>
      <w:rFonts w:ascii="Verdana" w:hAnsi="Verdana"/>
      <w:szCs w:val="20"/>
    </w:rPr>
  </w:style>
  <w:style w:type="paragraph" w:customStyle="1" w:styleId="122">
    <w:name w:val="Абзац списка12"/>
    <w:basedOn w:val="a3"/>
    <w:pPr>
      <w:ind w:left="720"/>
      <w:contextualSpacing/>
    </w:pPr>
  </w:style>
  <w:style w:type="paragraph" w:customStyle="1" w:styleId="218">
    <w:name w:val="Обычный21"/>
    <w:basedOn w:val="a3"/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6">
    <w:name w:val="xl66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7">
    <w:name w:val="xl67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8">
    <w:name w:val="xl68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9">
    <w:name w:val="xl69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0">
    <w:name w:val="xl70"/>
    <w:basedOn w:val="a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1">
    <w:name w:val="xl71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2">
    <w:name w:val="xl72"/>
    <w:basedOn w:val="a3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3">
    <w:name w:val="xl73"/>
    <w:basedOn w:val="a3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f1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9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0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0">
    <w:name w:val="Знак Знак161"/>
    <w:rPr>
      <w:sz w:val="24"/>
      <w:lang w:val="ru-RU" w:eastAsia="ru-RU"/>
    </w:rPr>
  </w:style>
  <w:style w:type="character" w:customStyle="1" w:styleId="1310">
    <w:name w:val="Знак Знак131"/>
    <w:rPr>
      <w:sz w:val="24"/>
      <w:lang w:val="ru-RU" w:eastAsia="ru-RU"/>
    </w:rPr>
  </w:style>
  <w:style w:type="character" w:customStyle="1" w:styleId="1410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0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d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left w:val="single" w:sz="4" w:space="0" w:color="auto"/>
      </w:tblBorders>
    </w:tblPr>
  </w:style>
  <w:style w:type="table" w:customStyle="1" w:styleId="2fe">
    <w:name w:val="Сетка таблицы2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8"/>
    <w:pPr>
      <w:numPr>
        <w:numId w:val="15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paragraph" w:customStyle="1" w:styleId="ActUses">
    <w:name w:val="ActUses"/>
    <w:basedOn w:val="a8"/>
    <w:pPr>
      <w:numPr>
        <w:numId w:val="16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numbering" w:customStyle="1" w:styleId="30">
    <w:name w:val="Стиль3"/>
    <w:pPr>
      <w:numPr>
        <w:numId w:val="17"/>
      </w:numPr>
    </w:pPr>
  </w:style>
  <w:style w:type="paragraph" w:customStyle="1" w:styleId="ConsPlusCell">
    <w:name w:val="ConsPlusCell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pPr>
      <w:numPr>
        <w:numId w:val="19"/>
      </w:numPr>
    </w:pPr>
  </w:style>
  <w:style w:type="numbering" w:customStyle="1" w:styleId="List52">
    <w:name w:val="List 52"/>
    <w:pPr>
      <w:numPr>
        <w:numId w:val="18"/>
      </w:numPr>
    </w:pPr>
  </w:style>
  <w:style w:type="character" w:customStyle="1" w:styleId="11a">
    <w:name w:val="Заголовок 1;Заголовок параграфа (1.) Знак Знак"/>
    <w:basedOn w:val="a4"/>
  </w:style>
  <w:style w:type="paragraph" w:customStyle="1" w:styleId="msonormalcxspmiddlecxspmiddle">
    <w:name w:val="msonormalcxspmiddlecxspmiddle"/>
    <w:basedOn w:val="a3"/>
    <w:pPr>
      <w:spacing w:before="100" w:beforeAutospacing="1" w:after="100" w:afterAutospacing="1"/>
    </w:pPr>
  </w:style>
  <w:style w:type="character" w:customStyle="1" w:styleId="1fff2">
    <w:name w:val="Текст Знак1"/>
    <w:locked/>
    <w:rPr>
      <w:rFonts w:ascii="Courier New" w:eastAsia="SimSun" w:hAnsi="Courier New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02F0-71B4-4446-8468-ECE3EDE7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8696</Words>
  <Characters>49568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58148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Артем Александрович</dc:creator>
  <cp:keywords/>
  <dc:description/>
  <cp:lastModifiedBy>Гирина Марина Владимировна</cp:lastModifiedBy>
  <cp:revision>4</cp:revision>
  <cp:lastPrinted>2019-05-14T06:49:00Z</cp:lastPrinted>
  <dcterms:created xsi:type="dcterms:W3CDTF">2019-05-14T12:57:00Z</dcterms:created>
  <dcterms:modified xsi:type="dcterms:W3CDTF">2019-05-17T11:44:00Z</dcterms:modified>
</cp:coreProperties>
</file>