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2C" w:rsidRDefault="003F7ED0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3F7ED0">
        <w:rPr>
          <w:rFonts w:ascii="Garamond" w:hAnsi="Garamond"/>
          <w:b/>
          <w:sz w:val="28"/>
          <w:szCs w:val="28"/>
        </w:rPr>
        <w:t>.8</w:t>
      </w:r>
      <w:r w:rsidR="0052429D">
        <w:rPr>
          <w:rFonts w:ascii="Garamond" w:hAnsi="Garamond"/>
          <w:b/>
          <w:sz w:val="28"/>
          <w:szCs w:val="28"/>
        </w:rPr>
        <w:t>.</w:t>
      </w:r>
      <w:r w:rsidRPr="003F7ED0">
        <w:rPr>
          <w:rFonts w:ascii="Garamond" w:hAnsi="Garamond"/>
          <w:b/>
          <w:sz w:val="28"/>
          <w:szCs w:val="28"/>
        </w:rPr>
        <w:t xml:space="preserve"> </w:t>
      </w:r>
      <w:r w:rsidR="004120B3">
        <w:rPr>
          <w:rFonts w:ascii="Garamond" w:hAnsi="Garamond"/>
          <w:b/>
          <w:sz w:val="28"/>
          <w:szCs w:val="28"/>
        </w:rPr>
        <w:t>Изменения, связанные с расчетом неустойки в отношении организации, осуществляющей экспортно-импортные операции</w:t>
      </w:r>
    </w:p>
    <w:p w:rsidR="00DE2C2C" w:rsidRDefault="00DE2C2C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DE2C2C" w:rsidRDefault="004120B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="003F7ED0">
        <w:rPr>
          <w:rFonts w:ascii="Garamond" w:hAnsi="Garamond"/>
          <w:b/>
          <w:sz w:val="28"/>
          <w:szCs w:val="28"/>
          <w:lang w:val="en-US"/>
        </w:rPr>
        <w:t>10.8</w:t>
      </w:r>
    </w:p>
    <w:p w:rsidR="00DE2C2C" w:rsidRDefault="00DE2C2C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E2C2C">
        <w:trPr>
          <w:trHeight w:val="928"/>
        </w:trPr>
        <w:tc>
          <w:tcPr>
            <w:tcW w:w="14992" w:type="dxa"/>
          </w:tcPr>
          <w:p w:rsidR="00DE2C2C" w:rsidRDefault="004120B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429D">
              <w:rPr>
                <w:rFonts w:ascii="Garamond" w:hAnsi="Garamond"/>
                <w:sz w:val="24"/>
                <w:szCs w:val="24"/>
              </w:rPr>
              <w:t>ч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>лен Наблюдательного совета Ассоциации «НП Совет рынка» Д.С. Булгаков</w:t>
            </w:r>
            <w:r w:rsidR="0052429D">
              <w:rPr>
                <w:rFonts w:ascii="Garamond" w:hAnsi="Garamond"/>
                <w:sz w:val="24"/>
                <w:szCs w:val="24"/>
              </w:rPr>
              <w:t>.</w:t>
            </w:r>
          </w:p>
          <w:p w:rsidR="003F7ED0" w:rsidRPr="003F7ED0" w:rsidRDefault="004120B3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429D">
              <w:rPr>
                <w:rFonts w:ascii="Garamond" w:hAnsi="Garamond"/>
                <w:sz w:val="24"/>
                <w:szCs w:val="24"/>
              </w:rPr>
              <w:t>в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соответствии с решениями НС от 19.02.2016, 22.11.2016 и 07.02.2017 на оптовом рынке в период с 19.02.2016 по 31.12.2018 в отношении организации, осуществляющей экспортно-импортные операции, действовал особый порядок расчета неустойки по договорам, заключенным на оптовом рынке.</w:t>
            </w:r>
          </w:p>
          <w:p w:rsidR="00DE2C2C" w:rsidRDefault="003F7ED0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3F7ED0">
              <w:rPr>
                <w:rFonts w:ascii="Garamond" w:hAnsi="Garamond"/>
                <w:sz w:val="24"/>
                <w:szCs w:val="24"/>
              </w:rPr>
              <w:t>Предлагается Договор о присоединении дополнить нормами, определяющими порядок расчета неустойки по договорам, заключенным на оптовом рынке организацией, осуществляющей экспортно-импортные операции, а также уточнить перечень участников оптового рынка, в отношении которых осуществляется контроль расчетов по договорам, заключенным на оптовом рынке.</w:t>
            </w:r>
          </w:p>
          <w:p w:rsidR="00DE2C2C" w:rsidRDefault="004120B3" w:rsidP="00C405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C40531">
              <w:rPr>
                <w:rFonts w:ascii="Garamond" w:hAnsi="Garamond"/>
                <w:sz w:val="24"/>
                <w:szCs w:val="24"/>
              </w:rPr>
              <w:t>21 марта 2019 года</w:t>
            </w:r>
            <w:r w:rsidR="005426E1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 действуют по 31 декабря 2019 года (включительно).</w:t>
            </w:r>
          </w:p>
        </w:tc>
      </w:tr>
    </w:tbl>
    <w:p w:rsidR="00DE2C2C" w:rsidRDefault="00DE2C2C">
      <w:pPr>
        <w:widowControl w:val="0"/>
        <w:spacing w:after="0" w:line="240" w:lineRule="auto"/>
        <w:rPr>
          <w:rFonts w:ascii="Garamond" w:hAnsi="Garamond"/>
        </w:rPr>
      </w:pPr>
    </w:p>
    <w:p w:rsidR="00DE2C2C" w:rsidRDefault="004120B3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:rsidR="00DE2C2C" w:rsidRDefault="00DE2C2C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8820"/>
      </w:tblGrid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04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Добавить подпункт с изменением нумерации </w:t>
            </w:r>
          </w:p>
        </w:tc>
        <w:tc>
          <w:tcPr>
            <w:tcW w:w="8820" w:type="dxa"/>
            <w:vAlign w:val="center"/>
          </w:tcPr>
          <w:p w:rsidR="00DE2C2C" w:rsidRDefault="004120B3" w:rsidP="00960EBC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11) ЦФР осуществляет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расчет неустойки (пени) за нарушение сроков исполнения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обязательств в отношении ПАО «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ru-RU"/>
              </w:rPr>
              <w:t>Интер</w:t>
            </w:r>
            <w:proofErr w:type="spellEnd"/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РАО» в соответствии с п. 12.5.</w:t>
            </w:r>
            <w:r w:rsidR="00960EBC" w:rsidRPr="00960EBC">
              <w:rPr>
                <w:rFonts w:ascii="Garamond" w:hAnsi="Garamond"/>
                <w:sz w:val="22"/>
                <w:szCs w:val="22"/>
                <w:lang w:val="ru-RU"/>
              </w:rPr>
              <w:t>5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настоящего Регламента.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 w:rsidP="00960EBC">
            <w:pPr>
              <w:spacing w:after="0"/>
              <w:jc w:val="center"/>
              <w:rPr>
                <w:rFonts w:ascii="Garamond" w:hAnsi="Garamond"/>
                <w:b/>
                <w:color w:val="FF3B3B"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12.5.</w:t>
            </w:r>
            <w:r w:rsidR="00960EBC"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Добавить пункт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</w:t>
            </w:r>
            <w:r w:rsidR="00960EBC">
              <w:rPr>
                <w:rFonts w:ascii="Garamond" w:hAnsi="Garamond" w:cs="Garamond"/>
                <w:b/>
                <w:bCs/>
                <w:lang w:val="en-US"/>
              </w:rPr>
              <w:t>5</w:t>
            </w:r>
            <w:r>
              <w:rPr>
                <w:rFonts w:ascii="Garamond" w:hAnsi="Garamond" w:cs="Garamond"/>
                <w:b/>
                <w:bCs/>
              </w:rPr>
              <w:t>. Порядок расчета неустойки (пени) на задолженность участника оптового рынка – организации, осуществляющей экспортно-импортные операции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>
              <w:rPr>
                <w:rFonts w:ascii="Garamond" w:hAnsi="Garamond"/>
                <w:lang w:val="en-US"/>
              </w:rPr>
              <w:t>5</w:t>
            </w:r>
            <w:r>
              <w:rPr>
                <w:rFonts w:ascii="Garamond" w:hAnsi="Garamond"/>
              </w:rPr>
              <w:t>.1. Не позднее 5 (пяти) рабочих дней после утверждения Наблюдательным советом СР в отношении ПАО «</w:t>
            </w:r>
            <w:proofErr w:type="spellStart"/>
            <w:r>
              <w:rPr>
                <w:rFonts w:ascii="Garamond" w:hAnsi="Garamond"/>
              </w:rPr>
              <w:t>Интер</w:t>
            </w:r>
            <w:proofErr w:type="spellEnd"/>
            <w:r>
              <w:rPr>
                <w:rFonts w:ascii="Garamond" w:hAnsi="Garamond"/>
              </w:rPr>
              <w:t xml:space="preserve"> РАО» (далее – организация, осуществляющая экспортно-импортные операции) суммы допустимой задолженности, в отношении которой применяются особенности расчета и оплаты неустойки (пени), СР передает в ЦФР на бумажном носителе с подписью уполномоченного лица выписку из протокола заседания Наблюдательного совета СР, включающую информацию о сумме допустимой задолженности, в отношении которой применяются особенности расчета и оплаты неустойки (пени).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>
              <w:rPr>
                <w:rFonts w:ascii="Garamond" w:hAnsi="Garamond"/>
                <w:lang w:val="en-US"/>
              </w:rPr>
              <w:t>5</w:t>
            </w:r>
            <w:r>
              <w:rPr>
                <w:rFonts w:ascii="Garamond" w:hAnsi="Garamond"/>
              </w:rPr>
              <w:t xml:space="preserve">.2. ЦФР не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организацией, </w:t>
            </w:r>
            <w:r>
              <w:rPr>
                <w:rFonts w:ascii="Garamond" w:hAnsi="Garamond"/>
              </w:rPr>
              <w:lastRenderedPageBreak/>
              <w:t xml:space="preserve">осуществляющей экспортно-импортные операции, в случае, если в расчетном месяце не зафиксирован </w:t>
            </w:r>
            <w:r w:rsidR="00CD15FF">
              <w:rPr>
                <w:rFonts w:ascii="Garamond" w:hAnsi="Garamond"/>
              </w:rPr>
              <w:t xml:space="preserve">ни один </w:t>
            </w:r>
            <w:r>
              <w:rPr>
                <w:rFonts w:ascii="Garamond" w:hAnsi="Garamond"/>
              </w:rPr>
              <w:t>случа</w:t>
            </w:r>
            <w:r w:rsidR="00CD15FF">
              <w:rPr>
                <w:rFonts w:ascii="Garamond" w:hAnsi="Garamond"/>
              </w:rPr>
              <w:t>й</w:t>
            </w:r>
            <w:r>
              <w:rPr>
                <w:rFonts w:ascii="Garamond" w:hAnsi="Garamond"/>
              </w:rPr>
              <w:t xml:space="preserve"> превышения величины неисполненных (ненадлежащим образом исполненных) обязательств такого участника по итогам рабочего дня суммы допустимой задолженности, в отношении которой применяются особенности расчета и оплаты неустойки (пени)</w:t>
            </w:r>
            <w:r w:rsidR="00CD15FF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>
              <w:rPr>
                <w:rFonts w:ascii="Garamond" w:hAnsi="Garamond"/>
                <w:lang w:val="en-US"/>
              </w:rPr>
              <w:t>5</w:t>
            </w:r>
            <w:r>
              <w:rPr>
                <w:rFonts w:ascii="Garamond" w:hAnsi="Garamond"/>
              </w:rPr>
              <w:t>.3. В случае если в расчетном месяце величина неисполненных (ненадлежащим образом исполненных) обязательств по оплате электрической энергии и (или) мощности, а также услуг инфраструктурных организаций организацией, осуществляющей экспортно-импортные операции, по итогам хотя бы одного рабочего дня превышает сумму допустимой задолженности, в отношении которой применяются особенности расчета и оплаты неустойки (пени), ЦФР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таким участником путем суммирования неустойки (пени), рассчитанной за соответствующий рабочий день, по итогам которого величина неисполненных (ненадлежащим образом исполненных) обязательств такого участника превышает 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</w:t>
            </w:r>
            <w:r w:rsidR="00960EBC">
              <w:rPr>
                <w:rFonts w:ascii="Garamond" w:hAnsi="Garamond"/>
                <w:bCs/>
                <w:lang w:val="en-US"/>
              </w:rPr>
              <w:t>5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DE2C2C" w:rsidRDefault="004120B3">
            <w:pPr>
              <w:spacing w:before="120" w:after="120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</w:rPr>
              <w:t xml:space="preserve">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 w:rsidP="00960EBC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12.5.</w:t>
            </w:r>
            <w:r w:rsidR="00960EBC">
              <w:rPr>
                <w:rFonts w:ascii="Garamond" w:hAnsi="Garamond"/>
                <w:lang w:val="en-US"/>
              </w:rPr>
              <w:t>5</w:t>
            </w:r>
            <w:bookmarkStart w:id="0" w:name="_GoBack"/>
            <w:bookmarkEnd w:id="0"/>
            <w:r>
              <w:rPr>
                <w:rFonts w:ascii="Garamond" w:hAnsi="Garamond"/>
              </w:rPr>
              <w:t xml:space="preserve">.5. При определении величины неисполненных (ненадлежащим образом исполненных) обязательств не учитываются обязательства по оплате, расчеты по которым в 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осуществляются вне уполномоченной кредитной организации. Не учитываются также неисполненные обязательства контрагента в случае, если при проведении платежей в Информации об остатках на торговых счетах, направленной уполномоченной кредитной организацией в ЦФР в </w:t>
            </w:r>
            <w:r>
              <w:rPr>
                <w:rFonts w:ascii="Garamond" w:hAnsi="Garamond"/>
              </w:rPr>
              <w:lastRenderedPageBreak/>
              <w:t>соответствии с приложением 54 к настоящему Регламенту, отсутствуют данные о торговом счете участника – получателя денежных средств.</w:t>
            </w:r>
          </w:p>
        </w:tc>
      </w:tr>
    </w:tbl>
    <w:p w:rsidR="00DE2C2C" w:rsidRDefault="00DE2C2C">
      <w:pPr>
        <w:pStyle w:val="a3"/>
        <w:ind w:firstLine="567"/>
        <w:rPr>
          <w:rFonts w:ascii="Garamond" w:hAnsi="Garamond"/>
          <w:spacing w:val="1"/>
          <w:lang w:val="ru-RU"/>
        </w:rPr>
      </w:pP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Cs w:val="22"/>
          <w:lang w:val="ru-RU"/>
        </w:rPr>
        <w:t>m</w:t>
      </w:r>
      <w:r>
        <w:rPr>
          <w:rFonts w:ascii="Garamond" w:hAnsi="Garamond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rPr>
          <w:rFonts w:ascii="Garamond" w:hAnsi="Garamond"/>
          <w:b/>
          <w:sz w:val="24"/>
          <w:szCs w:val="24"/>
        </w:rPr>
      </w:pP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 w:val="22"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 w:val="22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 w:val="22"/>
          <w:szCs w:val="22"/>
          <w:lang w:val="ru-RU"/>
        </w:rPr>
        <w:t>m</w:t>
      </w:r>
      <w:r>
        <w:rPr>
          <w:rFonts w:ascii="Garamond" w:hAnsi="Garamond"/>
          <w:sz w:val="22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iCs/>
          <w:color w:val="000000"/>
          <w:highlight w:val="yellow"/>
        </w:rPr>
        <w:t>,</w:t>
      </w:r>
      <w:r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highlight w:val="yellow"/>
        </w:rPr>
        <w:t>и организации, осуществляющей экспортно-импортные операции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widowControl w:val="0"/>
        <w:rPr>
          <w:rFonts w:ascii="Garamond" w:hAnsi="Garamond"/>
        </w:rPr>
      </w:pPr>
    </w:p>
    <w:p w:rsidR="00DE2C2C" w:rsidRDefault="004120B3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 xml:space="preserve">контроля ЗА соблюдением участниками оптового рынка ПРАВИЛ ОПТОВОГО РЫНКА И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:rsidR="00DE2C2C" w:rsidRDefault="00DE2C2C">
      <w:pPr>
        <w:widowControl w:val="0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ПАО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Интер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РАО»</w:t>
            </w:r>
            <w:r>
              <w:rPr>
                <w:rFonts w:ascii="Garamond" w:hAnsi="Garamond"/>
                <w:sz w:val="22"/>
                <w:szCs w:val="22"/>
              </w:rPr>
              <w:t>,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DE2C2C" w:rsidRDefault="00DE2C2C">
      <w:pPr>
        <w:widowControl w:val="0"/>
        <w:rPr>
          <w:rFonts w:ascii="Garamond" w:hAnsi="Garamond"/>
        </w:rPr>
      </w:pPr>
    </w:p>
    <w:sectPr w:rsidR="00DE2C2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2C"/>
    <w:rsid w:val="003F7ED0"/>
    <w:rsid w:val="004120B3"/>
    <w:rsid w:val="0052429D"/>
    <w:rsid w:val="005426E1"/>
    <w:rsid w:val="00592BB6"/>
    <w:rsid w:val="00960EBC"/>
    <w:rsid w:val="00C40531"/>
    <w:rsid w:val="00CD15FF"/>
    <w:rsid w:val="00D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2E1C52-52D9-4D73-9B6A-C98943B6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0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CD15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D15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D15FF"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D15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D15FF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1267</Words>
  <Characters>8709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Ирина Пряхина</cp:lastModifiedBy>
  <cp:revision>6</cp:revision>
  <cp:lastPrinted>2019-03-05T11:41:00Z</cp:lastPrinted>
  <dcterms:created xsi:type="dcterms:W3CDTF">2019-03-05T14:06:00Z</dcterms:created>
  <dcterms:modified xsi:type="dcterms:W3CDTF">2019-03-22T07:29:00Z</dcterms:modified>
</cp:coreProperties>
</file>